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EC4DDF" w14:textId="505ACB49" w:rsidR="00E07AF8" w:rsidRPr="008466B4" w:rsidRDefault="00E07AF8" w:rsidP="00E07AF8">
      <w:pPr>
        <w:pStyle w:val="Header"/>
        <w:tabs>
          <w:tab w:val="right" w:pos="9639"/>
          <w:tab w:val="right" w:pos="13323"/>
        </w:tabs>
        <w:jc w:val="both"/>
        <w:rPr>
          <w:rFonts w:eastAsiaTheme="minorEastAsia" w:cs="Arial"/>
          <w:bCs/>
          <w:noProof w:val="0"/>
          <w:color w:val="FF000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-RAN WG4 Meeting #</w:t>
      </w:r>
      <w:r w:rsidR="00476255" w:rsidRPr="006B21ED">
        <w:rPr>
          <w:rFonts w:eastAsiaTheme="minorEastAsia" w:cs="Arial"/>
          <w:bCs/>
          <w:noProof w:val="0"/>
          <w:sz w:val="22"/>
          <w:szCs w:val="22"/>
          <w:lang w:eastAsia="zh-CN"/>
        </w:rPr>
        <w:t>10</w:t>
      </w:r>
      <w:r w:rsidR="003632A7">
        <w:rPr>
          <w:rFonts w:eastAsiaTheme="minorEastAsia" w:cs="Arial"/>
          <w:bCs/>
          <w:noProof w:val="0"/>
          <w:sz w:val="22"/>
          <w:szCs w:val="22"/>
          <w:lang w:eastAsia="zh-CN"/>
        </w:rPr>
        <w:t>4</w:t>
      </w:r>
      <w:r w:rsidR="00927E08">
        <w:rPr>
          <w:rFonts w:eastAsiaTheme="minorEastAsia" w:cs="Arial"/>
          <w:bCs/>
          <w:noProof w:val="0"/>
          <w:sz w:val="22"/>
          <w:szCs w:val="22"/>
          <w:lang w:eastAsia="zh-CN"/>
        </w:rPr>
        <w:t>-</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r>
      <w:r w:rsidR="00875F9D" w:rsidRPr="00CF456F">
        <w:rPr>
          <w:rFonts w:eastAsiaTheme="minorEastAsia" w:cs="Arial"/>
          <w:bCs/>
          <w:noProof w:val="0"/>
          <w:sz w:val="22"/>
          <w:szCs w:val="22"/>
          <w:lang w:eastAsia="zh-CN"/>
        </w:rPr>
        <w:t>R4</w:t>
      </w:r>
      <w:r w:rsidR="009F3F67" w:rsidRPr="00CF456F">
        <w:rPr>
          <w:rFonts w:eastAsiaTheme="minorEastAsia" w:cs="Arial"/>
          <w:bCs/>
          <w:noProof w:val="0"/>
          <w:sz w:val="22"/>
          <w:szCs w:val="22"/>
          <w:lang w:eastAsia="zh-CN"/>
        </w:rPr>
        <w:t>-</w:t>
      </w:r>
      <w:r w:rsidR="00A82670" w:rsidRPr="00A82670">
        <w:rPr>
          <w:rFonts w:eastAsiaTheme="minorEastAsia" w:cs="Arial"/>
          <w:bCs/>
          <w:noProof w:val="0"/>
          <w:sz w:val="22"/>
          <w:szCs w:val="22"/>
          <w:lang w:eastAsia="zh-CN"/>
        </w:rPr>
        <w:t>2213643</w:t>
      </w:r>
    </w:p>
    <w:p w14:paraId="03742581" w14:textId="3CBF520E"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bookmarkStart w:id="0" w:name="_Hlk100838086"/>
      <w:r w:rsidR="003632A7">
        <w:rPr>
          <w:rFonts w:eastAsiaTheme="minorEastAsia" w:cs="Arial"/>
          <w:bCs/>
          <w:noProof w:val="0"/>
          <w:sz w:val="22"/>
          <w:szCs w:val="22"/>
          <w:lang w:eastAsia="zh-CN"/>
        </w:rPr>
        <w:t>August</w:t>
      </w:r>
      <w:r w:rsidR="00F55326" w:rsidRPr="00F55326">
        <w:rPr>
          <w:rFonts w:eastAsiaTheme="minorEastAsia" w:cs="Arial"/>
          <w:bCs/>
          <w:noProof w:val="0"/>
          <w:sz w:val="22"/>
          <w:szCs w:val="22"/>
          <w:lang w:eastAsia="zh-CN"/>
        </w:rPr>
        <w:t xml:space="preserve"> </w:t>
      </w:r>
      <w:r w:rsidR="003632A7">
        <w:rPr>
          <w:rFonts w:eastAsiaTheme="minorEastAsia" w:cs="Arial"/>
          <w:bCs/>
          <w:noProof w:val="0"/>
          <w:sz w:val="22"/>
          <w:szCs w:val="22"/>
          <w:lang w:eastAsia="zh-CN"/>
        </w:rPr>
        <w:t>15</w:t>
      </w:r>
      <w:r w:rsidR="006B44CA">
        <w:rPr>
          <w:rFonts w:eastAsiaTheme="minorEastAsia" w:cs="Arial"/>
          <w:bCs/>
          <w:noProof w:val="0"/>
          <w:sz w:val="22"/>
          <w:szCs w:val="22"/>
          <w:vertAlign w:val="superscript"/>
          <w:lang w:eastAsia="zh-CN"/>
        </w:rPr>
        <w:t xml:space="preserve">th </w:t>
      </w:r>
      <w:r w:rsidR="00BD4831" w:rsidRPr="00F55326">
        <w:rPr>
          <w:rFonts w:eastAsiaTheme="minorEastAsia" w:cs="Arial"/>
          <w:bCs/>
          <w:noProof w:val="0"/>
          <w:sz w:val="22"/>
          <w:szCs w:val="22"/>
          <w:lang w:eastAsia="zh-CN"/>
        </w:rPr>
        <w:t>-</w:t>
      </w:r>
      <w:r w:rsidR="00A30EEB" w:rsidRPr="00F55326">
        <w:rPr>
          <w:rFonts w:eastAsiaTheme="minorEastAsia" w:cs="Arial"/>
          <w:bCs/>
          <w:noProof w:val="0"/>
          <w:sz w:val="22"/>
          <w:szCs w:val="22"/>
          <w:lang w:eastAsia="zh-CN"/>
        </w:rPr>
        <w:t xml:space="preserve"> </w:t>
      </w:r>
      <w:r w:rsidR="006B44CA">
        <w:rPr>
          <w:rFonts w:eastAsiaTheme="minorEastAsia" w:cs="Arial"/>
          <w:bCs/>
          <w:noProof w:val="0"/>
          <w:sz w:val="22"/>
          <w:szCs w:val="22"/>
          <w:lang w:eastAsia="zh-CN"/>
        </w:rPr>
        <w:t>2</w:t>
      </w:r>
      <w:r w:rsidR="003632A7">
        <w:rPr>
          <w:rFonts w:eastAsiaTheme="minorEastAsia" w:cs="Arial"/>
          <w:bCs/>
          <w:noProof w:val="0"/>
          <w:sz w:val="22"/>
          <w:szCs w:val="22"/>
          <w:lang w:eastAsia="zh-CN"/>
        </w:rPr>
        <w:t>6</w:t>
      </w:r>
      <w:r w:rsidR="006B44CA">
        <w:rPr>
          <w:rFonts w:eastAsiaTheme="minorEastAsia" w:cs="Arial"/>
          <w:bCs/>
          <w:noProof w:val="0"/>
          <w:sz w:val="22"/>
          <w:szCs w:val="22"/>
          <w:vertAlign w:val="superscript"/>
          <w:lang w:eastAsia="zh-CN"/>
        </w:rPr>
        <w:t>th</w:t>
      </w:r>
      <w:r w:rsidRPr="00F55326">
        <w:rPr>
          <w:rFonts w:eastAsiaTheme="minorEastAsia" w:cs="Arial"/>
          <w:bCs/>
          <w:noProof w:val="0"/>
          <w:sz w:val="22"/>
          <w:szCs w:val="22"/>
          <w:lang w:eastAsia="zh-CN"/>
        </w:rPr>
        <w:t>,</w:t>
      </w:r>
      <w:bookmarkEnd w:id="0"/>
      <w:r w:rsidRPr="00F55326">
        <w:rPr>
          <w:rFonts w:eastAsiaTheme="minorEastAsia" w:cs="Arial"/>
          <w:bCs/>
          <w:noProof w:val="0"/>
          <w:sz w:val="22"/>
          <w:szCs w:val="22"/>
          <w:lang w:eastAsia="zh-CN"/>
        </w:rPr>
        <w:t xml:space="preserve"> 202</w:t>
      </w:r>
      <w:r w:rsidR="00927E08" w:rsidRPr="00F55326">
        <w:rPr>
          <w:rFonts w:eastAsiaTheme="minorEastAsia" w:cs="Arial"/>
          <w:bCs/>
          <w:noProof w:val="0"/>
          <w:sz w:val="22"/>
          <w:szCs w:val="22"/>
          <w:lang w:eastAsia="zh-CN"/>
        </w:rPr>
        <w:t>2</w:t>
      </w:r>
    </w:p>
    <w:p w14:paraId="19CF6FE7" w14:textId="2E6CC9FF"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Agenda </w:t>
      </w:r>
      <w:r w:rsidRPr="00CF456F">
        <w:rPr>
          <w:rFonts w:eastAsiaTheme="minorEastAsia" w:cs="Arial"/>
          <w:bCs/>
          <w:noProof w:val="0"/>
          <w:sz w:val="22"/>
          <w:szCs w:val="22"/>
          <w:lang w:eastAsia="zh-CN"/>
        </w:rPr>
        <w:t>Item:</w:t>
      </w:r>
      <w:r w:rsidR="00743D3D" w:rsidRPr="00CF456F">
        <w:rPr>
          <w:rFonts w:eastAsiaTheme="minorEastAsia" w:cs="Arial"/>
          <w:bCs/>
          <w:noProof w:val="0"/>
          <w:sz w:val="22"/>
          <w:szCs w:val="22"/>
          <w:lang w:eastAsia="zh-CN"/>
        </w:rPr>
        <w:t xml:space="preserve"> </w:t>
      </w:r>
      <w:r w:rsidR="006B44CA">
        <w:rPr>
          <w:rFonts w:eastAsiaTheme="minorEastAsia" w:cs="Arial"/>
          <w:bCs/>
          <w:noProof w:val="0"/>
          <w:sz w:val="22"/>
          <w:szCs w:val="22"/>
          <w:lang w:eastAsia="zh-CN"/>
        </w:rPr>
        <w:t>9</w:t>
      </w:r>
      <w:r w:rsidR="00476255" w:rsidRPr="00CF456F">
        <w:rPr>
          <w:rFonts w:eastAsiaTheme="minorEastAsia" w:cs="Arial"/>
          <w:bCs/>
          <w:noProof w:val="0"/>
          <w:sz w:val="22"/>
          <w:szCs w:val="22"/>
          <w:lang w:eastAsia="zh-CN"/>
        </w:rPr>
        <w:t>.</w:t>
      </w:r>
      <w:r w:rsidR="006B44CA">
        <w:rPr>
          <w:rFonts w:eastAsiaTheme="minorEastAsia" w:cs="Arial"/>
          <w:bCs/>
          <w:noProof w:val="0"/>
          <w:sz w:val="22"/>
          <w:szCs w:val="22"/>
          <w:lang w:eastAsia="zh-CN"/>
        </w:rPr>
        <w:t>1</w:t>
      </w:r>
      <w:r w:rsidR="003632A7">
        <w:rPr>
          <w:rFonts w:eastAsiaTheme="minorEastAsia" w:cs="Arial"/>
          <w:bCs/>
          <w:noProof w:val="0"/>
          <w:sz w:val="22"/>
          <w:szCs w:val="22"/>
          <w:lang w:eastAsia="zh-CN"/>
        </w:rPr>
        <w:t>8</w:t>
      </w:r>
      <w:r w:rsidR="00476255" w:rsidRPr="00CF456F">
        <w:rPr>
          <w:rFonts w:eastAsiaTheme="minorEastAsia" w:cs="Arial"/>
          <w:bCs/>
          <w:noProof w:val="0"/>
          <w:sz w:val="22"/>
          <w:szCs w:val="22"/>
          <w:lang w:eastAsia="zh-CN"/>
        </w:rPr>
        <w:t>.</w:t>
      </w:r>
      <w:r w:rsidR="00CD5C45" w:rsidRPr="00CF456F">
        <w:rPr>
          <w:rFonts w:eastAsiaTheme="minorEastAsia" w:cs="Arial"/>
          <w:bCs/>
          <w:noProof w:val="0"/>
          <w:sz w:val="22"/>
          <w:szCs w:val="22"/>
          <w:lang w:eastAsia="zh-CN"/>
        </w:rPr>
        <w:t>3</w:t>
      </w:r>
      <w:r w:rsidR="00476255" w:rsidRPr="00CF456F">
        <w:rPr>
          <w:rFonts w:eastAsiaTheme="minorEastAsia" w:cs="Arial"/>
          <w:bCs/>
          <w:noProof w:val="0"/>
          <w:sz w:val="22"/>
          <w:szCs w:val="22"/>
          <w:lang w:eastAsia="zh-CN"/>
        </w:rPr>
        <w:t>.</w:t>
      </w:r>
      <w:r w:rsidR="00CD5C45" w:rsidRPr="00CF456F">
        <w:rPr>
          <w:rFonts w:eastAsiaTheme="minorEastAsia" w:cs="Arial"/>
          <w:bCs/>
          <w:noProof w:val="0"/>
          <w:sz w:val="22"/>
          <w:szCs w:val="22"/>
          <w:lang w:eastAsia="zh-CN"/>
        </w:rPr>
        <w:t>1</w:t>
      </w:r>
      <w:r w:rsidR="00CE2F65" w:rsidRPr="00CF456F">
        <w:rPr>
          <w:rFonts w:eastAsiaTheme="minorEastAsia" w:cs="Arial"/>
          <w:bCs/>
          <w:noProof w:val="0"/>
          <w:sz w:val="22"/>
          <w:szCs w:val="22"/>
          <w:lang w:eastAsia="zh-CN"/>
        </w:rPr>
        <w:t>.1</w:t>
      </w:r>
    </w:p>
    <w:p w14:paraId="4604A093" w14:textId="534A2C56"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 Inc.</w:t>
      </w:r>
    </w:p>
    <w:p w14:paraId="3A90EEF6" w14:textId="2B32D266"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9A6007">
        <w:rPr>
          <w:rFonts w:eastAsiaTheme="minorEastAsia" w:cs="Arial"/>
          <w:bCs/>
          <w:noProof w:val="0"/>
          <w:sz w:val="22"/>
          <w:szCs w:val="22"/>
          <w:lang w:eastAsia="zh-CN"/>
        </w:rPr>
        <w:t>General discussion</w:t>
      </w:r>
    </w:p>
    <w:p w14:paraId="652C18C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67BE5F3B"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r w:rsidR="00EE7FA7" w:rsidRPr="006B21ED">
        <w:rPr>
          <w:rFonts w:ascii="Arial" w:hAnsi="Arial" w:cs="Arial"/>
        </w:rPr>
        <w:t>Introduction</w:t>
      </w:r>
    </w:p>
    <w:p w14:paraId="0D584057" w14:textId="377E52D2" w:rsidR="00B20E27" w:rsidRPr="00D34B64" w:rsidRDefault="00D824C5" w:rsidP="00B20E27">
      <w:pPr>
        <w:jc w:val="both"/>
      </w:pPr>
      <w:r w:rsidRPr="00BF4A60">
        <w:t>In the previous meeting #10</w:t>
      </w:r>
      <w:r w:rsidR="009A6007">
        <w:t>3</w:t>
      </w:r>
      <w:r w:rsidR="00BF4A60" w:rsidRPr="00BF4A60">
        <w:t>-</w:t>
      </w:r>
      <w:r w:rsidRPr="00BF4A60">
        <w:t xml:space="preserve">e, we reached some agreements on the general RRM requirements for </w:t>
      </w:r>
      <w:proofErr w:type="spellStart"/>
      <w:r w:rsidRPr="00BF4A60">
        <w:t>RedCap</w:t>
      </w:r>
      <w:proofErr w:type="spellEnd"/>
      <w:r w:rsidRPr="00BF4A60">
        <w:t xml:space="preserve">, which are captured in the way forward (WF) </w:t>
      </w:r>
      <w:r w:rsidR="00B42F2B" w:rsidRPr="00BF4A60">
        <w:fldChar w:fldCharType="begin"/>
      </w:r>
      <w:r w:rsidR="00B42F2B" w:rsidRPr="00BF4A60">
        <w:instrText xml:space="preserve"> REF _Ref85650672 \r \h </w:instrText>
      </w:r>
      <w:r w:rsidR="006B44CA" w:rsidRPr="00BF4A60">
        <w:instrText xml:space="preserve"> \* MERGEFORMAT </w:instrText>
      </w:r>
      <w:r w:rsidR="00B42F2B" w:rsidRPr="00BF4A60">
        <w:fldChar w:fldCharType="separate"/>
      </w:r>
      <w:r w:rsidR="00CF5E69">
        <w:t>[1]</w:t>
      </w:r>
      <w:r w:rsidR="00B42F2B" w:rsidRPr="00BF4A60">
        <w:fldChar w:fldCharType="end"/>
      </w:r>
      <w:r w:rsidRPr="00BF4A60">
        <w:t xml:space="preserve">. </w:t>
      </w:r>
      <w:r w:rsidR="002C6490" w:rsidRPr="00BF4A60">
        <w:t xml:space="preserve">In this </w:t>
      </w:r>
      <w:r w:rsidR="00B67301" w:rsidRPr="00BF4A60">
        <w:t xml:space="preserve">contribution </w:t>
      </w:r>
      <w:r w:rsidR="00D32C5A" w:rsidRPr="00BF4A60">
        <w:t xml:space="preserve">paper, we </w:t>
      </w:r>
      <w:r w:rsidR="00B000A6" w:rsidRPr="00BF4A60">
        <w:t xml:space="preserve">discuss remaining issues </w:t>
      </w:r>
      <w:r w:rsidRPr="00BF4A60">
        <w:t>given in the same WF</w:t>
      </w:r>
      <w:r w:rsidR="008466B4" w:rsidRPr="00BF4A60">
        <w:t xml:space="preserve">, which are regarding </w:t>
      </w:r>
      <w:proofErr w:type="spellStart"/>
      <w:r w:rsidR="00BF4A60" w:rsidRPr="00BF4A60">
        <w:t>RedCap</w:t>
      </w:r>
      <w:proofErr w:type="spellEnd"/>
      <w:r w:rsidR="00BF4A60" w:rsidRPr="00BF4A60">
        <w:t xml:space="preserve"> </w:t>
      </w:r>
      <w:r w:rsidR="009A6007">
        <w:t xml:space="preserve">SDT with </w:t>
      </w:r>
      <w:proofErr w:type="spellStart"/>
      <w:r w:rsidR="009A6007">
        <w:t>eDRX</w:t>
      </w:r>
      <w:proofErr w:type="spellEnd"/>
      <w:r w:rsidR="009A6007">
        <w:t xml:space="preserve"> and RSRP margin</w:t>
      </w:r>
      <w:r w:rsidR="008466B4" w:rsidRPr="00BF4A60">
        <w:t>.</w:t>
      </w:r>
      <w:r w:rsidR="008466B4">
        <w:t xml:space="preserve"> </w:t>
      </w:r>
      <w:r w:rsidR="00B20E27" w:rsidRPr="00B20E27">
        <w:t xml:space="preserve"> </w:t>
      </w:r>
    </w:p>
    <w:p w14:paraId="72E03439" w14:textId="291929A2" w:rsidR="00D16A4A" w:rsidRDefault="00D16A4A" w:rsidP="008A7807">
      <w:pPr>
        <w:pStyle w:val="Heading1"/>
        <w:numPr>
          <w:ilvl w:val="0"/>
          <w:numId w:val="1"/>
        </w:numPr>
        <w:jc w:val="both"/>
        <w:rPr>
          <w:rFonts w:ascii="Arial" w:hAnsi="Arial" w:cs="Arial"/>
        </w:rPr>
      </w:pPr>
      <w:r>
        <w:rPr>
          <w:rFonts w:ascii="Arial" w:hAnsi="Arial" w:cs="Arial"/>
        </w:rPr>
        <w:t xml:space="preserve">Discussion on </w:t>
      </w:r>
      <w:r w:rsidR="008A7807">
        <w:rPr>
          <w:rFonts w:ascii="Arial" w:hAnsi="Arial" w:cs="Arial"/>
        </w:rPr>
        <w:t>remaining issues</w:t>
      </w:r>
      <w:r w:rsidRPr="00C337EA">
        <w:rPr>
          <w:rFonts w:ascii="Arial" w:hAnsi="Arial" w:cs="Arial"/>
        </w:rPr>
        <w:t xml:space="preserve"> for </w:t>
      </w:r>
      <w:proofErr w:type="spellStart"/>
      <w:r w:rsidRPr="00C337EA">
        <w:rPr>
          <w:rFonts w:ascii="Arial" w:hAnsi="Arial" w:cs="Arial"/>
        </w:rPr>
        <w:t>RedCap</w:t>
      </w:r>
      <w:proofErr w:type="spellEnd"/>
    </w:p>
    <w:p w14:paraId="1E405DD4" w14:textId="0F9D2059" w:rsidR="00D16A4A" w:rsidRDefault="00D16A4A" w:rsidP="00D16A4A">
      <w:pPr>
        <w:jc w:val="both"/>
      </w:pPr>
      <w:r>
        <w:t xml:space="preserve">From the WF </w:t>
      </w:r>
      <w:r>
        <w:fldChar w:fldCharType="begin"/>
      </w:r>
      <w:r>
        <w:instrText xml:space="preserve"> REF _Ref85650672 \r \h </w:instrText>
      </w:r>
      <w:r>
        <w:fldChar w:fldCharType="separate"/>
      </w:r>
      <w:r w:rsidR="00CF5E69">
        <w:t>[1]</w:t>
      </w:r>
      <w:r>
        <w:fldChar w:fldCharType="end"/>
      </w:r>
      <w:r>
        <w:t xml:space="preserve">, we have few open issues on the SDT for </w:t>
      </w:r>
      <w:proofErr w:type="spellStart"/>
      <w:r>
        <w:t>RedCap</w:t>
      </w:r>
      <w:proofErr w:type="spellEnd"/>
      <w:r>
        <w:t xml:space="preserve"> as follows: </w:t>
      </w:r>
    </w:p>
    <w:tbl>
      <w:tblPr>
        <w:tblStyle w:val="TableGrid"/>
        <w:tblW w:w="0" w:type="auto"/>
        <w:tblLook w:val="04A0" w:firstRow="1" w:lastRow="0" w:firstColumn="1" w:lastColumn="0" w:noHBand="0" w:noVBand="1"/>
      </w:tblPr>
      <w:tblGrid>
        <w:gridCol w:w="9629"/>
      </w:tblGrid>
      <w:tr w:rsidR="0072734C" w14:paraId="77B2CD5A" w14:textId="77777777" w:rsidTr="0072734C">
        <w:tc>
          <w:tcPr>
            <w:tcW w:w="9629" w:type="dxa"/>
          </w:tcPr>
          <w:p w14:paraId="2AD41AFD" w14:textId="5D144989" w:rsidR="00456E71" w:rsidRDefault="00456E71" w:rsidP="00456E71">
            <w:pPr>
              <w:pStyle w:val="Heading3"/>
              <w:numPr>
                <w:ilvl w:val="2"/>
                <w:numId w:val="49"/>
              </w:numPr>
              <w:rPr>
                <w:color w:val="000000" w:themeColor="text1"/>
                <w:sz w:val="24"/>
                <w:szCs w:val="16"/>
              </w:rPr>
            </w:pPr>
            <w:r w:rsidRPr="00560758">
              <w:rPr>
                <w:color w:val="000000" w:themeColor="text1"/>
                <w:sz w:val="24"/>
                <w:szCs w:val="16"/>
              </w:rPr>
              <w:lastRenderedPageBreak/>
              <w:t xml:space="preserve">SDT+ </w:t>
            </w:r>
            <w:proofErr w:type="spellStart"/>
            <w:r w:rsidRPr="00560758">
              <w:rPr>
                <w:color w:val="000000" w:themeColor="text1"/>
                <w:sz w:val="24"/>
                <w:szCs w:val="16"/>
              </w:rPr>
              <w:t>eDRX</w:t>
            </w:r>
            <w:proofErr w:type="spellEnd"/>
          </w:p>
          <w:p w14:paraId="261C25CB" w14:textId="77777777" w:rsidR="00456E71" w:rsidRDefault="00456E71" w:rsidP="00456E71">
            <w:r>
              <w:t xml:space="preserve">TA validation requirements when UE is configured with </w:t>
            </w:r>
            <w:proofErr w:type="spellStart"/>
            <w:r>
              <w:t>eDRX</w:t>
            </w:r>
            <w:proofErr w:type="spellEnd"/>
            <w:r>
              <w:t xml:space="preserve"> was discussed but no conclusions were reached. Interested companies may provide their view at next meeting. </w:t>
            </w:r>
          </w:p>
          <w:p w14:paraId="20E293F8" w14:textId="7BCEB240" w:rsidR="00456E71" w:rsidRPr="00C31C01" w:rsidRDefault="00456E71" w:rsidP="00456E71">
            <w:pPr>
              <w:pStyle w:val="Heading3"/>
              <w:numPr>
                <w:ilvl w:val="2"/>
                <w:numId w:val="50"/>
              </w:numPr>
              <w:rPr>
                <w:color w:val="000000" w:themeColor="text1"/>
                <w:sz w:val="24"/>
                <w:szCs w:val="16"/>
              </w:rPr>
            </w:pPr>
            <w:r>
              <w:rPr>
                <w:color w:val="000000" w:themeColor="text1"/>
                <w:sz w:val="24"/>
                <w:szCs w:val="16"/>
              </w:rPr>
              <w:t>Neighbour cell relaxation when UE has failed to meet cell suitability criterion</w:t>
            </w:r>
          </w:p>
          <w:p w14:paraId="2F5365EA" w14:textId="77777777" w:rsidR="00456E71" w:rsidRDefault="00456E71" w:rsidP="00456E71">
            <w:r>
              <w:t>Following highlighted text to capture in the IDLE mode CR was discussed but not agreed. Interested companies may provide their view at next meeting:</w:t>
            </w:r>
          </w:p>
          <w:p w14:paraId="2D798D2A" w14:textId="77777777" w:rsidR="00456E71" w:rsidRDefault="00456E71" w:rsidP="00456E71">
            <w:pPr>
              <w:rPr>
                <w:i/>
              </w:rPr>
            </w:pPr>
            <w:r w:rsidRPr="00560758">
              <w:rPr>
                <w:i/>
                <w:iCs/>
              </w:rPr>
              <w:t>“</w:t>
            </w:r>
            <w:r w:rsidRPr="00560758">
              <w:rPr>
                <w:rFonts w:ascii="Calibri" w:hAnsi="Calibri"/>
                <w:i/>
                <w:iCs/>
              </w:rPr>
              <w:t xml:space="preserve">If the UE is not configured with </w:t>
            </w:r>
            <w:proofErr w:type="spellStart"/>
            <w:r w:rsidRPr="00560758">
              <w:rPr>
                <w:rFonts w:ascii="Calibri" w:hAnsi="Calibri"/>
                <w:i/>
                <w:iCs/>
              </w:rPr>
              <w:t>eDRX_IDLE</w:t>
            </w:r>
            <w:proofErr w:type="spellEnd"/>
            <w:r w:rsidRPr="00560758">
              <w:rPr>
                <w:rFonts w:ascii="Calibri" w:hAnsi="Calibri"/>
                <w:i/>
                <w:iCs/>
              </w:rPr>
              <w:t xml:space="preserve"> cycle and the UE has evaluated according to Table 4.2B.2.2-1 for 1 Rx </w:t>
            </w:r>
            <w:proofErr w:type="spellStart"/>
            <w:r w:rsidRPr="00560758">
              <w:rPr>
                <w:rFonts w:ascii="Calibri" w:hAnsi="Calibri"/>
                <w:i/>
                <w:iCs/>
              </w:rPr>
              <w:t>RedCap</w:t>
            </w:r>
            <w:proofErr w:type="spellEnd"/>
            <w:r w:rsidRPr="00560758">
              <w:rPr>
                <w:rFonts w:ascii="Calibri" w:hAnsi="Calibri"/>
                <w:i/>
                <w:iCs/>
              </w:rPr>
              <w:t xml:space="preserve"> or Table</w:t>
            </w:r>
            <w:r w:rsidRPr="00560758">
              <w:rPr>
                <w:rStyle w:val="apple-converted-space"/>
                <w:rFonts w:ascii="Calibri" w:hAnsi="Calibri"/>
                <w:i/>
                <w:iCs/>
              </w:rPr>
              <w:t> </w:t>
            </w:r>
            <w:r w:rsidRPr="00560758">
              <w:rPr>
                <w:rFonts w:ascii="Calibri" w:hAnsi="Calibri"/>
                <w:i/>
                <w:iCs/>
              </w:rPr>
              <w:t xml:space="preserve">4.2.2.2-1 for 2 Rx </w:t>
            </w:r>
            <w:proofErr w:type="spellStart"/>
            <w:r w:rsidRPr="00560758">
              <w:rPr>
                <w:rFonts w:ascii="Calibri" w:hAnsi="Calibri"/>
                <w:i/>
                <w:iCs/>
              </w:rPr>
              <w:t>RedCap</w:t>
            </w:r>
            <w:proofErr w:type="spellEnd"/>
            <w:r w:rsidRPr="00560758">
              <w:rPr>
                <w:rStyle w:val="apple-converted-space"/>
                <w:rFonts w:ascii="Calibri" w:hAnsi="Calibri"/>
                <w:i/>
                <w:iCs/>
              </w:rPr>
              <w:t> </w:t>
            </w:r>
            <w:r w:rsidRPr="00560758">
              <w:rPr>
                <w:rFonts w:ascii="Calibri" w:hAnsi="Calibri"/>
                <w:i/>
                <w:iCs/>
              </w:rPr>
              <w:t xml:space="preserve">in </w:t>
            </w:r>
            <w:proofErr w:type="spellStart"/>
            <w:r w:rsidRPr="00560758">
              <w:rPr>
                <w:rFonts w:ascii="Calibri" w:hAnsi="Calibri"/>
                <w:i/>
                <w:iCs/>
              </w:rPr>
              <w:t>N</w:t>
            </w:r>
            <w:r w:rsidRPr="00560758">
              <w:rPr>
                <w:rFonts w:ascii="Calibri" w:hAnsi="Calibri"/>
                <w:i/>
                <w:iCs/>
                <w:vertAlign w:val="subscript"/>
              </w:rPr>
              <w:t>serv_RedCap</w:t>
            </w:r>
            <w:proofErr w:type="spellEnd"/>
            <w:r w:rsidRPr="00560758">
              <w:rPr>
                <w:rStyle w:val="apple-converted-space"/>
                <w:rFonts w:ascii="Calibri" w:hAnsi="Calibri"/>
                <w:i/>
                <w:iCs/>
              </w:rPr>
              <w:t> </w:t>
            </w:r>
            <w:r w:rsidRPr="00560758">
              <w:rPr>
                <w:rFonts w:ascii="Calibri" w:hAnsi="Calibri"/>
                <w:i/>
                <w:iCs/>
              </w:rPr>
              <w:t>consecutive DRX cycles that the serving cell does not fulfil the cell selection criterion S, the UE shall initiate the measurements of all neighbour cells indicated by the serving cell, regardless of the measurement rules currently limiting UE measurement activities.</w:t>
            </w:r>
            <w:r w:rsidRPr="00560758">
              <w:rPr>
                <w:rStyle w:val="apple-converted-space"/>
                <w:rFonts w:ascii="Calibri" w:hAnsi="Calibri"/>
                <w:i/>
                <w:iCs/>
              </w:rPr>
              <w:t> </w:t>
            </w:r>
            <w:r w:rsidRPr="00560758">
              <w:rPr>
                <w:rFonts w:ascii="Calibri" w:hAnsi="Calibri"/>
                <w:i/>
                <w:iCs/>
                <w:color w:val="000000"/>
                <w:shd w:val="clear" w:color="auto" w:fill="FFFF00"/>
              </w:rPr>
              <w:t>In this case the UE shall not relax measurements on any of the neighbour cells even if the UE is configured with any relaxed measurement criterion and has fulfilled that criterion.</w:t>
            </w:r>
            <w:r w:rsidRPr="00560758">
              <w:rPr>
                <w:i/>
                <w:iCs/>
              </w:rPr>
              <w:t>”</w:t>
            </w:r>
          </w:p>
          <w:p w14:paraId="2B293EDA" w14:textId="77777777" w:rsidR="00456E71" w:rsidRDefault="00456E71" w:rsidP="00456E71">
            <w:pPr>
              <w:rPr>
                <w:b/>
                <w:color w:val="000000" w:themeColor="text1"/>
                <w:u w:val="single"/>
                <w:lang w:eastAsia="ko-KR"/>
              </w:rPr>
            </w:pPr>
            <w:r>
              <w:rPr>
                <w:b/>
                <w:color w:val="000000" w:themeColor="text1"/>
                <w:u w:val="single"/>
                <w:lang w:eastAsia="ko-KR"/>
              </w:rPr>
              <w:t>RSRP margin for SDT absolute RSRP thresholds</w:t>
            </w:r>
          </w:p>
          <w:p w14:paraId="685D0CAE" w14:textId="77777777" w:rsidR="00456E71" w:rsidRDefault="00456E71" w:rsidP="00456E71">
            <w:pPr>
              <w:pStyle w:val="ListParagraph"/>
              <w:numPr>
                <w:ilvl w:val="1"/>
                <w:numId w:val="36"/>
              </w:numPr>
              <w:spacing w:after="120"/>
              <w:ind w:left="1440"/>
              <w:contextualSpacing w:val="0"/>
              <w:rPr>
                <w:rFonts w:eastAsia="SimSun"/>
                <w:color w:val="000000" w:themeColor="text1"/>
              </w:rPr>
            </w:pPr>
            <w:r>
              <w:rPr>
                <w:rFonts w:eastAsia="SimSun"/>
                <w:b/>
                <w:bCs/>
                <w:color w:val="000000" w:themeColor="text1"/>
              </w:rPr>
              <w:t xml:space="preserve">Option 1 (Intel, E///, Apple, Nokia): </w:t>
            </w:r>
          </w:p>
          <w:p w14:paraId="54BC6718" w14:textId="77777777" w:rsidR="00456E71" w:rsidRDefault="00456E71" w:rsidP="00456E71">
            <w:pPr>
              <w:ind w:left="1704"/>
            </w:pPr>
            <w:r>
              <w:t xml:space="preserve">For FR1, </w:t>
            </w:r>
            <w:proofErr w:type="spellStart"/>
            <w:r>
              <w:t>RedCap</w:t>
            </w:r>
            <w:proofErr w:type="spellEnd"/>
            <w:r>
              <w:t xml:space="preserve"> UE determines the above RSRP related thresholds for SDT procedure as follows:</w:t>
            </w:r>
          </w:p>
          <w:p w14:paraId="5ACBF589" w14:textId="77777777" w:rsidR="00456E71" w:rsidRDefault="00456E71" w:rsidP="00456E71">
            <w:pPr>
              <w:ind w:left="1704"/>
              <w:jc w:val="both"/>
            </w:pPr>
            <w:r>
              <w:t xml:space="preserve"> • UE using 2 Rx branches determines any of the above threshold (H1) based on existing </w:t>
            </w:r>
            <w:proofErr w:type="spellStart"/>
            <w:r>
              <w:t>signaling</w:t>
            </w:r>
            <w:proofErr w:type="spellEnd"/>
            <w:r>
              <w:t xml:space="preserve"> and RSRP range defined in TS 38.133. </w:t>
            </w:r>
          </w:p>
          <w:p w14:paraId="5D975F3C" w14:textId="77777777" w:rsidR="00456E71" w:rsidRDefault="00456E71" w:rsidP="00456E71">
            <w:pPr>
              <w:ind w:left="1704"/>
              <w:jc w:val="both"/>
            </w:pPr>
            <w:r>
              <w:t xml:space="preserve"> • For absolute RSRP threshold, UE using 1 Rx branch determines any of the above threshold (H2) as H2 = H1 + </w:t>
            </w:r>
            <w:proofErr w:type="spellStart"/>
            <w:r>
              <w:t>offset</w:t>
            </w:r>
            <w:r>
              <w:rPr>
                <w:vertAlign w:val="subscript"/>
              </w:rPr>
              <w:t>absolute</w:t>
            </w:r>
            <w:proofErr w:type="spellEnd"/>
            <w:r>
              <w:t xml:space="preserve"> </w:t>
            </w:r>
          </w:p>
          <w:p w14:paraId="132D722B" w14:textId="77777777" w:rsidR="00456E71" w:rsidRDefault="00456E71" w:rsidP="00456E71">
            <w:pPr>
              <w:pStyle w:val="ListParagraph"/>
              <w:numPr>
                <w:ilvl w:val="1"/>
                <w:numId w:val="36"/>
              </w:numPr>
              <w:overflowPunct w:val="0"/>
              <w:autoSpaceDE w:val="0"/>
              <w:autoSpaceDN w:val="0"/>
              <w:adjustRightInd w:val="0"/>
              <w:spacing w:after="180" w:line="256" w:lineRule="auto"/>
              <w:ind w:left="3068"/>
              <w:textAlignment w:val="baseline"/>
            </w:pPr>
            <w:r>
              <w:t xml:space="preserve">Absolute RSRP threshold for SDT procedure includes </w:t>
            </w:r>
            <w:proofErr w:type="spellStart"/>
            <w:r>
              <w:rPr>
                <w:i/>
              </w:rPr>
              <w:t>sdt</w:t>
            </w:r>
            <w:proofErr w:type="spellEnd"/>
            <w:r>
              <w:rPr>
                <w:i/>
              </w:rPr>
              <w:t>-RSRP-Threshold</w:t>
            </w:r>
            <w:r>
              <w:t xml:space="preserve"> and </w:t>
            </w:r>
            <w:r>
              <w:rPr>
                <w:i/>
              </w:rPr>
              <w:t>cg-SDT-RSRP-</w:t>
            </w:r>
            <w:proofErr w:type="spellStart"/>
            <w:r>
              <w:rPr>
                <w:i/>
              </w:rPr>
              <w:t>ThresholdSSB</w:t>
            </w:r>
            <w:proofErr w:type="spellEnd"/>
            <w:r>
              <w:t xml:space="preserve"> </w:t>
            </w:r>
          </w:p>
          <w:p w14:paraId="51818847" w14:textId="77777777" w:rsidR="00456E71" w:rsidRPr="00560758" w:rsidRDefault="00456E71" w:rsidP="00456E71">
            <w:pPr>
              <w:pStyle w:val="ListParagraph"/>
              <w:numPr>
                <w:ilvl w:val="2"/>
                <w:numId w:val="36"/>
              </w:numPr>
              <w:spacing w:after="120"/>
              <w:contextualSpacing w:val="0"/>
              <w:rPr>
                <w:rFonts w:eastAsia="SimSun"/>
                <w:color w:val="000000" w:themeColor="text1"/>
              </w:rPr>
            </w:pPr>
            <w:r>
              <w:rPr>
                <w:rFonts w:eastAsia="SimSun"/>
                <w:b/>
                <w:bCs/>
                <w:color w:val="000000" w:themeColor="text1"/>
              </w:rPr>
              <w:t xml:space="preserve">Option 1b (MTK, Nokia): </w:t>
            </w:r>
          </w:p>
          <w:p w14:paraId="08D2B875" w14:textId="1B624B04" w:rsidR="00456E71" w:rsidRPr="004D5FFE" w:rsidRDefault="00456E71" w:rsidP="004D5FFE">
            <w:pPr>
              <w:pStyle w:val="ListParagraph"/>
              <w:numPr>
                <w:ilvl w:val="3"/>
                <w:numId w:val="36"/>
              </w:numPr>
              <w:spacing w:after="120"/>
              <w:contextualSpacing w:val="0"/>
              <w:rPr>
                <w:rFonts w:eastAsia="SimSun"/>
                <w:color w:val="000000" w:themeColor="text1"/>
                <w:u w:val="single"/>
              </w:rPr>
            </w:pPr>
            <w:r w:rsidRPr="00560758">
              <w:rPr>
                <w:rFonts w:eastAsia="SimSun"/>
                <w:color w:val="000000" w:themeColor="text1"/>
                <w:u w:val="single"/>
              </w:rPr>
              <w:t>Option  1 is agreed provided offset</w:t>
            </w:r>
            <w:r>
              <w:rPr>
                <w:rFonts w:eastAsia="SimSun"/>
                <w:color w:val="000000" w:themeColor="text1"/>
                <w:u w:val="single"/>
              </w:rPr>
              <w:t xml:space="preserve"> (</w:t>
            </w:r>
            <w:proofErr w:type="spellStart"/>
            <w:r>
              <w:t>offset</w:t>
            </w:r>
            <w:r>
              <w:rPr>
                <w:vertAlign w:val="subscript"/>
              </w:rPr>
              <w:t>absolute</w:t>
            </w:r>
            <w:proofErr w:type="spellEnd"/>
            <w:r>
              <w:rPr>
                <w:rFonts w:eastAsia="SimSun"/>
                <w:color w:val="000000" w:themeColor="text1"/>
                <w:u w:val="single"/>
              </w:rPr>
              <w:t>)</w:t>
            </w:r>
            <w:r w:rsidRPr="00560758">
              <w:rPr>
                <w:rFonts w:eastAsia="SimSun"/>
                <w:color w:val="000000" w:themeColor="text1"/>
                <w:u w:val="single"/>
              </w:rPr>
              <w:t xml:space="preserve"> is a constant number.</w:t>
            </w:r>
          </w:p>
          <w:p w14:paraId="16FB0CCA" w14:textId="77777777" w:rsidR="00456E71" w:rsidRDefault="00456E71" w:rsidP="00456E71">
            <w:pPr>
              <w:pStyle w:val="ListParagraph"/>
              <w:numPr>
                <w:ilvl w:val="1"/>
                <w:numId w:val="36"/>
              </w:numPr>
              <w:spacing w:after="120"/>
              <w:ind w:left="1440"/>
              <w:contextualSpacing w:val="0"/>
              <w:rPr>
                <w:rFonts w:eastAsia="SimSun"/>
                <w:color w:val="000000" w:themeColor="text1"/>
              </w:rPr>
            </w:pPr>
            <w:r>
              <w:rPr>
                <w:rFonts w:eastAsia="SimSun"/>
                <w:b/>
                <w:bCs/>
                <w:color w:val="000000" w:themeColor="text1"/>
              </w:rPr>
              <w:t xml:space="preserve">Option 2 (vivo): </w:t>
            </w:r>
          </w:p>
          <w:p w14:paraId="3394D672" w14:textId="24E4A542" w:rsidR="00456E71" w:rsidRPr="004D5FFE" w:rsidRDefault="00456E71" w:rsidP="004D5FFE">
            <w:pPr>
              <w:ind w:left="1704"/>
            </w:pPr>
            <w:r>
              <w:t xml:space="preserve">1 Rx UE does not need to apply RSRP offset based on the 2 Rx threshold for CG-SDT. </w:t>
            </w:r>
          </w:p>
          <w:p w14:paraId="6FF3A409" w14:textId="77777777" w:rsidR="00456E71" w:rsidRDefault="00456E71" w:rsidP="00456E71">
            <w:pPr>
              <w:rPr>
                <w:b/>
                <w:color w:val="000000" w:themeColor="text1"/>
                <w:u w:val="single"/>
                <w:lang w:eastAsia="ko-KR"/>
              </w:rPr>
            </w:pPr>
            <w:r>
              <w:rPr>
                <w:b/>
                <w:color w:val="000000" w:themeColor="text1"/>
                <w:u w:val="single"/>
                <w:lang w:eastAsia="ko-KR"/>
              </w:rPr>
              <w:t>RSRP margin for SDT RSRP change threshold</w:t>
            </w:r>
          </w:p>
          <w:p w14:paraId="70E8D831" w14:textId="77777777" w:rsidR="00456E71" w:rsidRDefault="00456E71" w:rsidP="00456E71">
            <w:pPr>
              <w:pStyle w:val="ListParagraph"/>
              <w:numPr>
                <w:ilvl w:val="1"/>
                <w:numId w:val="36"/>
              </w:numPr>
              <w:spacing w:after="120"/>
              <w:ind w:left="1440"/>
              <w:contextualSpacing w:val="0"/>
              <w:rPr>
                <w:rFonts w:eastAsia="SimSun"/>
                <w:bCs/>
                <w:color w:val="000000" w:themeColor="text1"/>
              </w:rPr>
            </w:pPr>
            <w:r>
              <w:rPr>
                <w:rFonts w:eastAsia="SimSun"/>
                <w:b/>
                <w:bCs/>
                <w:color w:val="000000" w:themeColor="text1"/>
              </w:rPr>
              <w:t xml:space="preserve">Option 1 (Intel): </w:t>
            </w:r>
          </w:p>
          <w:p w14:paraId="2FBAB16F" w14:textId="77777777" w:rsidR="00456E71" w:rsidRDefault="00456E71" w:rsidP="00456E71">
            <w:pPr>
              <w:spacing w:line="256" w:lineRule="auto"/>
              <w:ind w:left="1440"/>
            </w:pPr>
            <w:r>
              <w:t xml:space="preserve"> For RSRP change threshold,  UE using 1 Rx branch determines any of the above threshold (H2) by</w:t>
            </w:r>
          </w:p>
          <w:p w14:paraId="2835BCE0" w14:textId="77777777" w:rsidR="00456E71" w:rsidRDefault="00456E71" w:rsidP="00456E71">
            <w:pPr>
              <w:pStyle w:val="ListParagraph"/>
              <w:numPr>
                <w:ilvl w:val="2"/>
                <w:numId w:val="36"/>
              </w:numPr>
              <w:overflowPunct w:val="0"/>
              <w:autoSpaceDE w:val="0"/>
              <w:autoSpaceDN w:val="0"/>
              <w:adjustRightInd w:val="0"/>
              <w:spacing w:after="180" w:line="256" w:lineRule="auto"/>
              <w:contextualSpacing w:val="0"/>
              <w:textAlignment w:val="baseline"/>
            </w:pPr>
            <w:r w:rsidRPr="00BD3377">
              <w:rPr>
                <w:b/>
                <w:bCs/>
              </w:rPr>
              <w:t>Opt</w:t>
            </w:r>
            <w:r>
              <w:rPr>
                <w:b/>
                <w:bCs/>
              </w:rPr>
              <w:t>i</w:t>
            </w:r>
            <w:r w:rsidRPr="00BD3377">
              <w:rPr>
                <w:b/>
                <w:bCs/>
              </w:rPr>
              <w:t>on 1a (Intel, Nokia</w:t>
            </w:r>
            <w:r>
              <w:rPr>
                <w:b/>
                <w:bCs/>
              </w:rPr>
              <w:t>, Apple, E///</w:t>
            </w:r>
            <w:r w:rsidRPr="00BD3377">
              <w:rPr>
                <w:b/>
                <w:bCs/>
              </w:rPr>
              <w:t>):</w:t>
            </w:r>
            <w:r>
              <w:t xml:space="preserve"> H2 = H1 + </w:t>
            </w:r>
            <w:proofErr w:type="spellStart"/>
            <w:r>
              <w:t>offset</w:t>
            </w:r>
            <w:r>
              <w:rPr>
                <w:vertAlign w:val="subscript"/>
              </w:rPr>
              <w:t>RSRPChange</w:t>
            </w:r>
            <w:proofErr w:type="spellEnd"/>
            <w:r>
              <w:t xml:space="preserve"> </w:t>
            </w:r>
          </w:p>
          <w:p w14:paraId="309BB724" w14:textId="77777777" w:rsidR="00456E71" w:rsidRPr="00AC1B08" w:rsidRDefault="00456E71" w:rsidP="00456E71">
            <w:pPr>
              <w:pStyle w:val="ListParagraph"/>
              <w:numPr>
                <w:ilvl w:val="2"/>
                <w:numId w:val="36"/>
              </w:numPr>
              <w:overflowPunct w:val="0"/>
              <w:autoSpaceDE w:val="0"/>
              <w:autoSpaceDN w:val="0"/>
              <w:adjustRightInd w:val="0"/>
              <w:spacing w:after="180" w:line="256" w:lineRule="auto"/>
              <w:contextualSpacing w:val="0"/>
              <w:textAlignment w:val="baseline"/>
            </w:pPr>
            <w:r>
              <w:t>Option 1b: separate threshold H2 used</w:t>
            </w:r>
          </w:p>
          <w:p w14:paraId="60CDAAC8" w14:textId="77777777" w:rsidR="00456E71" w:rsidRDefault="00456E71" w:rsidP="00456E71">
            <w:pPr>
              <w:spacing w:line="256" w:lineRule="auto"/>
              <w:ind w:left="852" w:firstLine="284"/>
              <w:contextualSpacing/>
            </w:pPr>
            <w:r>
              <w:t xml:space="preserve">RSRP change threshold for SDT procedure includes </w:t>
            </w:r>
            <w:r>
              <w:rPr>
                <w:i/>
              </w:rPr>
              <w:t>cg-SDT-RSRP-</w:t>
            </w:r>
            <w:proofErr w:type="spellStart"/>
            <w:r>
              <w:rPr>
                <w:i/>
              </w:rPr>
              <w:t>ChangeThre</w:t>
            </w:r>
            <w:r>
              <w:rPr>
                <w:i/>
                <w:iCs/>
              </w:rPr>
              <w:t>shold</w:t>
            </w:r>
            <w:proofErr w:type="spellEnd"/>
            <w:r>
              <w:t>.</w:t>
            </w:r>
          </w:p>
          <w:p w14:paraId="4D1D982B" w14:textId="77777777" w:rsidR="00456E71" w:rsidRPr="003C5956" w:rsidRDefault="00456E71" w:rsidP="00456E71">
            <w:pPr>
              <w:pStyle w:val="ListParagraph"/>
              <w:numPr>
                <w:ilvl w:val="2"/>
                <w:numId w:val="36"/>
              </w:numPr>
              <w:spacing w:after="120"/>
              <w:contextualSpacing w:val="0"/>
              <w:rPr>
                <w:rFonts w:eastAsia="SimSun"/>
                <w:color w:val="000000" w:themeColor="text1"/>
              </w:rPr>
            </w:pPr>
            <w:r>
              <w:rPr>
                <w:rFonts w:eastAsia="SimSun"/>
                <w:b/>
                <w:bCs/>
                <w:color w:val="000000" w:themeColor="text1"/>
              </w:rPr>
              <w:t xml:space="preserve">Option 1b (MTK, Nokia): </w:t>
            </w:r>
          </w:p>
          <w:p w14:paraId="19EB2C3C" w14:textId="78D9CA8F" w:rsidR="00456E71" w:rsidRPr="00D5206A" w:rsidRDefault="00456E71" w:rsidP="00D5206A">
            <w:pPr>
              <w:pStyle w:val="ListParagraph"/>
              <w:numPr>
                <w:ilvl w:val="3"/>
                <w:numId w:val="36"/>
              </w:numPr>
              <w:spacing w:after="120"/>
              <w:contextualSpacing w:val="0"/>
              <w:rPr>
                <w:rFonts w:eastAsia="SimSun"/>
                <w:color w:val="000000" w:themeColor="text1"/>
                <w:u w:val="single"/>
              </w:rPr>
            </w:pPr>
            <w:r w:rsidRPr="003C5956">
              <w:rPr>
                <w:rFonts w:eastAsia="SimSun"/>
                <w:color w:val="000000" w:themeColor="text1"/>
                <w:u w:val="single"/>
              </w:rPr>
              <w:t>Option  1 is agreed provided offset</w:t>
            </w:r>
            <w:r>
              <w:rPr>
                <w:rFonts w:eastAsia="SimSun"/>
                <w:color w:val="000000" w:themeColor="text1"/>
                <w:u w:val="single"/>
              </w:rPr>
              <w:t xml:space="preserve"> (</w:t>
            </w:r>
            <w:proofErr w:type="spellStart"/>
            <w:r>
              <w:t>offset</w:t>
            </w:r>
            <w:r>
              <w:rPr>
                <w:vertAlign w:val="subscript"/>
              </w:rPr>
              <w:t>RSRPChange</w:t>
            </w:r>
            <w:proofErr w:type="spellEnd"/>
            <w:r>
              <w:rPr>
                <w:rFonts w:eastAsia="SimSun"/>
                <w:color w:val="000000" w:themeColor="text1"/>
                <w:u w:val="single"/>
              </w:rPr>
              <w:t>)</w:t>
            </w:r>
            <w:r w:rsidRPr="003C5956">
              <w:rPr>
                <w:rFonts w:eastAsia="SimSun"/>
                <w:color w:val="000000" w:themeColor="text1"/>
                <w:u w:val="single"/>
              </w:rPr>
              <w:t xml:space="preserve"> is a constant number.</w:t>
            </w:r>
          </w:p>
          <w:p w14:paraId="6E0CB404" w14:textId="77777777" w:rsidR="00456E71" w:rsidRDefault="00456E71" w:rsidP="00456E71">
            <w:pPr>
              <w:pStyle w:val="ListParagraph"/>
              <w:numPr>
                <w:ilvl w:val="1"/>
                <w:numId w:val="36"/>
              </w:numPr>
              <w:spacing w:after="120"/>
              <w:ind w:left="1440"/>
              <w:contextualSpacing w:val="0"/>
              <w:rPr>
                <w:rFonts w:eastAsia="SimSun"/>
                <w:color w:val="000000" w:themeColor="text1"/>
              </w:rPr>
            </w:pPr>
            <w:r>
              <w:rPr>
                <w:rFonts w:eastAsia="SimSun"/>
                <w:b/>
                <w:bCs/>
                <w:color w:val="000000" w:themeColor="text1"/>
              </w:rPr>
              <w:lastRenderedPageBreak/>
              <w:t xml:space="preserve">Option 2 (vivo): </w:t>
            </w:r>
          </w:p>
          <w:p w14:paraId="28EBC35F" w14:textId="4F41FAF5" w:rsidR="0072734C" w:rsidRPr="00D5206A" w:rsidRDefault="00456E71" w:rsidP="00D5206A">
            <w:pPr>
              <w:ind w:left="1704"/>
            </w:pPr>
            <w:r>
              <w:t xml:space="preserve">1 Rx UE does not need to apply RSRP offset based on the 2 Rx threshold for CG-SDT. </w:t>
            </w:r>
          </w:p>
        </w:tc>
      </w:tr>
    </w:tbl>
    <w:p w14:paraId="51B8A6D0" w14:textId="77777777" w:rsidR="00D5206A" w:rsidRDefault="00D5206A" w:rsidP="0073137A">
      <w:pPr>
        <w:spacing w:after="180"/>
        <w:jc w:val="both"/>
      </w:pPr>
    </w:p>
    <w:p w14:paraId="127A042E" w14:textId="0C63A988" w:rsidR="00D5206A" w:rsidRDefault="00AB2067" w:rsidP="0073137A">
      <w:pPr>
        <w:spacing w:after="180"/>
        <w:jc w:val="both"/>
      </w:pPr>
      <w:r w:rsidRPr="00AB2067">
        <w:rPr>
          <w:b/>
          <w:bCs/>
        </w:rPr>
        <w:t xml:space="preserve">Issue SDT+ </w:t>
      </w:r>
      <w:proofErr w:type="spellStart"/>
      <w:r w:rsidRPr="00AB2067">
        <w:rPr>
          <w:b/>
          <w:bCs/>
        </w:rPr>
        <w:t>eDRX</w:t>
      </w:r>
      <w:proofErr w:type="spellEnd"/>
      <w:r>
        <w:t xml:space="preserve">: </w:t>
      </w:r>
      <w:r w:rsidR="00C337EA">
        <w:t>R</w:t>
      </w:r>
      <w:r w:rsidR="0073137A">
        <w:t xml:space="preserve">egarding the requirements for the SDT for </w:t>
      </w:r>
      <w:proofErr w:type="spellStart"/>
      <w:r w:rsidR="0073137A">
        <w:t>RedCap</w:t>
      </w:r>
      <w:proofErr w:type="spellEnd"/>
      <w:r w:rsidR="00D5206A">
        <w:t xml:space="preserve"> with </w:t>
      </w:r>
      <w:proofErr w:type="spellStart"/>
      <w:r w:rsidR="00D5206A">
        <w:t>eDRX</w:t>
      </w:r>
      <w:proofErr w:type="spellEnd"/>
      <w:r w:rsidR="0073137A">
        <w:t xml:space="preserve"> </w:t>
      </w:r>
      <w:r w:rsidR="00D5206A">
        <w:t>we refer to the formula of timing advanced</w:t>
      </w:r>
      <w:r w:rsidR="00DA64B0">
        <w:t xml:space="preserve"> validation requirements</w:t>
      </w:r>
      <w:r w:rsidR="00D5206A">
        <w:t xml:space="preserve"> in SDT for </w:t>
      </w:r>
      <w:proofErr w:type="spellStart"/>
      <w:r w:rsidR="00D5206A">
        <w:t>RedCap</w:t>
      </w:r>
      <w:proofErr w:type="spellEnd"/>
      <w:r w:rsidR="00D5206A">
        <w:t xml:space="preserve">, which is </w:t>
      </w:r>
      <w:r w:rsidR="00D5206A">
        <w:rPr>
          <w:rFonts w:ascii="Calibri" w:hAnsi="Calibri" w:cs="Calibri"/>
          <w:color w:val="000000"/>
        </w:rPr>
        <w:t>(min(640ms, M1*T</w:t>
      </w:r>
      <w:r w:rsidR="00D5206A" w:rsidRPr="00D5206A">
        <w:rPr>
          <w:rFonts w:ascii="Calibri" w:hAnsi="Calibri" w:cs="Calibri"/>
          <w:vertAlign w:val="subscript"/>
        </w:rPr>
        <w:t>DRX</w:t>
      </w:r>
      <w:r w:rsidR="00D5206A">
        <w:rPr>
          <w:rFonts w:ascii="Calibri" w:hAnsi="Calibri" w:cs="Calibri"/>
        </w:rPr>
        <w:t xml:space="preserve">)). From the formula it is clear that if we substitute </w:t>
      </w:r>
      <w:proofErr w:type="spellStart"/>
      <w:r w:rsidR="00D5206A">
        <w:rPr>
          <w:rFonts w:ascii="Calibri" w:hAnsi="Calibri" w:cs="Calibri"/>
        </w:rPr>
        <w:t>T</w:t>
      </w:r>
      <w:r w:rsidR="00D5206A" w:rsidRPr="00D5206A">
        <w:rPr>
          <w:rFonts w:ascii="Calibri" w:hAnsi="Calibri" w:cs="Calibri"/>
          <w:vertAlign w:val="subscript"/>
        </w:rPr>
        <w:t>eDRX</w:t>
      </w:r>
      <w:proofErr w:type="spellEnd"/>
      <w:r w:rsidR="00D5206A">
        <w:rPr>
          <w:rFonts w:ascii="Calibri" w:hAnsi="Calibri" w:cs="Calibri"/>
        </w:rPr>
        <w:t xml:space="preserve"> instead of T</w:t>
      </w:r>
      <w:r w:rsidR="00D5206A" w:rsidRPr="00D5206A">
        <w:rPr>
          <w:rFonts w:ascii="Calibri" w:hAnsi="Calibri" w:cs="Calibri"/>
          <w:vertAlign w:val="subscript"/>
        </w:rPr>
        <w:t>DRX</w:t>
      </w:r>
      <w:r w:rsidR="00D5206A">
        <w:rPr>
          <w:rFonts w:ascii="Calibri" w:hAnsi="Calibri" w:cs="Calibri"/>
        </w:rPr>
        <w:t xml:space="preserve"> the output will always be equal to </w:t>
      </w:r>
      <w:r w:rsidR="00D5206A" w:rsidRPr="00D5206A">
        <w:rPr>
          <w:rFonts w:ascii="Calibri" w:hAnsi="Calibri" w:cs="Calibri"/>
          <w:b/>
          <w:bCs/>
        </w:rPr>
        <w:t>640ms</w:t>
      </w:r>
      <w:r w:rsidR="00D5206A">
        <w:rPr>
          <w:rFonts w:ascii="Calibri" w:hAnsi="Calibri" w:cs="Calibri"/>
        </w:rPr>
        <w:t xml:space="preserve">. Therefore, the motivation to include a new formula with </w:t>
      </w:r>
      <w:proofErr w:type="spellStart"/>
      <w:r w:rsidR="00D5206A">
        <w:rPr>
          <w:rFonts w:ascii="Calibri" w:hAnsi="Calibri" w:cs="Calibri"/>
        </w:rPr>
        <w:t>T</w:t>
      </w:r>
      <w:r w:rsidR="00D5206A" w:rsidRPr="00D5206A">
        <w:rPr>
          <w:rFonts w:ascii="Calibri" w:hAnsi="Calibri" w:cs="Calibri"/>
          <w:vertAlign w:val="subscript"/>
        </w:rPr>
        <w:t>eDRX</w:t>
      </w:r>
      <w:proofErr w:type="spellEnd"/>
      <w:r w:rsidR="00D5206A">
        <w:rPr>
          <w:rFonts w:ascii="Calibri" w:hAnsi="Calibri" w:cs="Calibri"/>
        </w:rPr>
        <w:t xml:space="preserve"> is not clear to us. However, from RAN4 requirements perspective it should be fine to support </w:t>
      </w:r>
      <w:proofErr w:type="spellStart"/>
      <w:r w:rsidR="00D5206A">
        <w:rPr>
          <w:rFonts w:ascii="Calibri" w:hAnsi="Calibri" w:cs="Calibri"/>
        </w:rPr>
        <w:t>eDRX</w:t>
      </w:r>
      <w:proofErr w:type="spellEnd"/>
      <w:r w:rsidR="00D5206A">
        <w:rPr>
          <w:rFonts w:ascii="Calibri" w:hAnsi="Calibri" w:cs="Calibri"/>
        </w:rPr>
        <w:t xml:space="preserve"> with SDT for </w:t>
      </w:r>
      <w:proofErr w:type="spellStart"/>
      <w:r w:rsidR="00D5206A">
        <w:rPr>
          <w:rFonts w:ascii="Calibri" w:hAnsi="Calibri" w:cs="Calibri"/>
        </w:rPr>
        <w:t>RedCap</w:t>
      </w:r>
      <w:proofErr w:type="spellEnd"/>
      <w:r w:rsidR="00D5206A">
        <w:rPr>
          <w:rFonts w:ascii="Calibri" w:hAnsi="Calibri" w:cs="Calibri"/>
        </w:rPr>
        <w:t xml:space="preserve"> with TA</w:t>
      </w:r>
      <w:r w:rsidR="00DA64B0">
        <w:rPr>
          <w:rFonts w:ascii="Calibri" w:hAnsi="Calibri" w:cs="Calibri"/>
        </w:rPr>
        <w:t xml:space="preserve"> validation requirements is</w:t>
      </w:r>
      <w:r w:rsidR="00D5206A">
        <w:rPr>
          <w:rFonts w:ascii="Calibri" w:hAnsi="Calibri" w:cs="Calibri"/>
        </w:rPr>
        <w:t xml:space="preserve"> given as a constant value = 640ms. </w:t>
      </w:r>
    </w:p>
    <w:p w14:paraId="53C22370" w14:textId="5B4D7734" w:rsidR="00DA64B0" w:rsidRDefault="00DA64B0" w:rsidP="00DA64B0">
      <w:pPr>
        <w:pStyle w:val="ListParagraph"/>
        <w:numPr>
          <w:ilvl w:val="0"/>
          <w:numId w:val="39"/>
        </w:numPr>
        <w:jc w:val="both"/>
        <w:rPr>
          <w:b/>
          <w:bCs/>
        </w:rPr>
      </w:pPr>
      <w:bookmarkStart w:id="1" w:name="_Ref110601384"/>
      <w:r>
        <w:rPr>
          <w:b/>
          <w:bCs/>
        </w:rPr>
        <w:t xml:space="preserve">The TA validation requirements for SDT for </w:t>
      </w:r>
      <w:proofErr w:type="spellStart"/>
      <w:r>
        <w:rPr>
          <w:b/>
          <w:bCs/>
        </w:rPr>
        <w:t>RedCap</w:t>
      </w:r>
      <w:proofErr w:type="spellEnd"/>
      <w:r>
        <w:rPr>
          <w:b/>
          <w:bCs/>
        </w:rPr>
        <w:t xml:space="preserve"> with </w:t>
      </w:r>
      <w:proofErr w:type="spellStart"/>
      <w:r>
        <w:rPr>
          <w:b/>
          <w:bCs/>
        </w:rPr>
        <w:t>eDRX</w:t>
      </w:r>
      <w:proofErr w:type="spellEnd"/>
      <w:r>
        <w:rPr>
          <w:b/>
          <w:bCs/>
        </w:rPr>
        <w:t xml:space="preserve"> is always equal to 640ms</w:t>
      </w:r>
      <w:r w:rsidRPr="00EF7618">
        <w:rPr>
          <w:b/>
          <w:bCs/>
        </w:rPr>
        <w:t>.</w:t>
      </w:r>
      <w:bookmarkEnd w:id="1"/>
    </w:p>
    <w:p w14:paraId="61B46201" w14:textId="147F8277" w:rsidR="00AB2067" w:rsidRPr="004D5FFE" w:rsidRDefault="00DA64B0" w:rsidP="0073137A">
      <w:pPr>
        <w:pStyle w:val="ListParagraph"/>
        <w:numPr>
          <w:ilvl w:val="0"/>
          <w:numId w:val="40"/>
        </w:numPr>
        <w:spacing w:after="180"/>
        <w:contextualSpacing w:val="0"/>
        <w:jc w:val="both"/>
        <w:rPr>
          <w:rFonts w:ascii="Times New Roman" w:hAnsi="Times New Roman" w:cs="Times New Roman"/>
          <w:sz w:val="20"/>
          <w:szCs w:val="20"/>
        </w:rPr>
      </w:pPr>
      <w:bookmarkStart w:id="2" w:name="_Ref110601412"/>
      <w:r>
        <w:rPr>
          <w:rFonts w:cstheme="minorHAnsi"/>
          <w:b/>
          <w:lang w:eastAsia="ko-KR"/>
        </w:rPr>
        <w:t>RAN4 can define TA validation requirement as a single value = 640m</w:t>
      </w:r>
      <w:r w:rsidR="0011614E">
        <w:rPr>
          <w:rFonts w:eastAsia="PMingLiU" w:cstheme="minorHAnsi"/>
          <w:b/>
        </w:rPr>
        <w:t>s</w:t>
      </w:r>
      <w:r>
        <w:rPr>
          <w:rFonts w:cstheme="minorHAnsi"/>
          <w:b/>
          <w:lang w:eastAsia="ko-KR"/>
        </w:rPr>
        <w:t xml:space="preserve"> for SDT in </w:t>
      </w:r>
      <w:proofErr w:type="spellStart"/>
      <w:r>
        <w:rPr>
          <w:rFonts w:cstheme="minorHAnsi"/>
          <w:b/>
          <w:lang w:eastAsia="ko-KR"/>
        </w:rPr>
        <w:t>RedCap</w:t>
      </w:r>
      <w:proofErr w:type="spellEnd"/>
      <w:r>
        <w:rPr>
          <w:rFonts w:cstheme="minorHAnsi"/>
          <w:b/>
          <w:lang w:eastAsia="ko-KR"/>
        </w:rPr>
        <w:t xml:space="preserve"> with </w:t>
      </w:r>
      <w:proofErr w:type="spellStart"/>
      <w:r>
        <w:rPr>
          <w:rFonts w:cstheme="minorHAnsi"/>
          <w:b/>
          <w:lang w:eastAsia="ko-KR"/>
        </w:rPr>
        <w:t>eDRX</w:t>
      </w:r>
      <w:proofErr w:type="spellEnd"/>
      <w:r>
        <w:rPr>
          <w:rFonts w:cstheme="minorHAnsi"/>
          <w:b/>
          <w:lang w:eastAsia="ko-KR"/>
        </w:rPr>
        <w:t>.</w:t>
      </w:r>
      <w:bookmarkEnd w:id="2"/>
    </w:p>
    <w:p w14:paraId="7825EF6E" w14:textId="09B43726" w:rsidR="00D5206A" w:rsidRDefault="00AB2067" w:rsidP="0073137A">
      <w:pPr>
        <w:spacing w:after="180"/>
        <w:jc w:val="both"/>
      </w:pPr>
      <w:r w:rsidRPr="00AB2067">
        <w:rPr>
          <w:b/>
          <w:bCs/>
        </w:rPr>
        <w:t>Issue of n</w:t>
      </w:r>
      <w:r w:rsidRPr="00AB2067">
        <w:rPr>
          <w:b/>
          <w:bCs/>
          <w:color w:val="000000" w:themeColor="text1"/>
          <w:szCs w:val="16"/>
        </w:rPr>
        <w:t>eighbour cell relaxation</w:t>
      </w:r>
      <w:r>
        <w:rPr>
          <w:color w:val="000000" w:themeColor="text1"/>
          <w:szCs w:val="16"/>
        </w:rPr>
        <w:t>:</w:t>
      </w:r>
      <w:r>
        <w:t xml:space="preserve"> </w:t>
      </w:r>
      <w:r w:rsidR="00DA64B0">
        <w:t xml:space="preserve">Regarding the </w:t>
      </w:r>
      <w:r>
        <w:t xml:space="preserve">additional text in that paragraph, in rel-16 IDLE mode has RRM relaxation for low mobility and not-at-cell-edge for neighbouring cells, however, there is no such sentence in the existing specifications. Therefore, the motivation to include such sentence is not justified to us and we prefer not to include it. </w:t>
      </w:r>
    </w:p>
    <w:p w14:paraId="1330195D" w14:textId="08F1EE02" w:rsidR="00AB2067" w:rsidRDefault="00AB2067" w:rsidP="00AB2067">
      <w:pPr>
        <w:pStyle w:val="ListParagraph"/>
        <w:numPr>
          <w:ilvl w:val="0"/>
          <w:numId w:val="39"/>
        </w:numPr>
        <w:jc w:val="both"/>
        <w:rPr>
          <w:b/>
          <w:bCs/>
        </w:rPr>
      </w:pPr>
      <w:bookmarkStart w:id="3" w:name="_Ref110601399"/>
      <w:r>
        <w:rPr>
          <w:b/>
          <w:bCs/>
        </w:rPr>
        <w:t>The existing requirements in RAN4 spec do not include a different UE behaviour for neighbour cell relaxation, hence the motivation to include the additional text is not justified</w:t>
      </w:r>
      <w:r w:rsidRPr="00EF7618">
        <w:rPr>
          <w:b/>
          <w:bCs/>
        </w:rPr>
        <w:t>.</w:t>
      </w:r>
      <w:bookmarkEnd w:id="3"/>
    </w:p>
    <w:p w14:paraId="4EE6DCDF" w14:textId="736B34F5" w:rsidR="00AB2067" w:rsidRPr="004D5FFE" w:rsidRDefault="00AB2067" w:rsidP="0073137A">
      <w:pPr>
        <w:pStyle w:val="ListParagraph"/>
        <w:numPr>
          <w:ilvl w:val="0"/>
          <w:numId w:val="40"/>
        </w:numPr>
        <w:spacing w:after="180"/>
        <w:contextualSpacing w:val="0"/>
        <w:jc w:val="both"/>
        <w:rPr>
          <w:rFonts w:ascii="Times New Roman" w:hAnsi="Times New Roman" w:cs="Times New Roman"/>
          <w:sz w:val="20"/>
          <w:szCs w:val="20"/>
        </w:rPr>
      </w:pPr>
      <w:bookmarkStart w:id="4" w:name="_Ref110601424"/>
      <w:r>
        <w:rPr>
          <w:rFonts w:cstheme="minorHAnsi"/>
          <w:b/>
          <w:lang w:eastAsia="ko-KR"/>
        </w:rPr>
        <w:t>RAN4 not to capture the additional highlighted text from the WF in the RAN4 specifications.</w:t>
      </w:r>
      <w:bookmarkEnd w:id="4"/>
    </w:p>
    <w:p w14:paraId="1BE17969" w14:textId="0933475C" w:rsidR="004B1BBB" w:rsidRPr="004B1BBB" w:rsidRDefault="00AB2067" w:rsidP="004B1BBB">
      <w:pPr>
        <w:spacing w:after="180"/>
        <w:jc w:val="both"/>
      </w:pPr>
      <w:r w:rsidRPr="00AB2067">
        <w:rPr>
          <w:b/>
          <w:bCs/>
        </w:rPr>
        <w:t>Issue RSRP margin for SDT absolute and change threshold</w:t>
      </w:r>
      <w:r>
        <w:t xml:space="preserve">: </w:t>
      </w:r>
      <w:r w:rsidR="004B1BBB">
        <w:t>in a similar manner to the agreed requirements for RSRP with 1Rx for random access which is a constant value, hence the absolute</w:t>
      </w:r>
      <w:r w:rsidR="00817068">
        <w:t xml:space="preserve"> offset</w:t>
      </w:r>
      <w:r w:rsidR="004B1BBB">
        <w:t xml:space="preserve"> and offset change in SDT shall be a constant value written in RAN4 specification. </w:t>
      </w:r>
    </w:p>
    <w:p w14:paraId="33FB6FC9" w14:textId="37BFB506" w:rsidR="004B1BBB" w:rsidRPr="00B23AFD" w:rsidRDefault="004B1BBB" w:rsidP="004B1BBB">
      <w:pPr>
        <w:pStyle w:val="ListParagraph"/>
        <w:numPr>
          <w:ilvl w:val="0"/>
          <w:numId w:val="40"/>
        </w:numPr>
        <w:spacing w:after="180"/>
        <w:contextualSpacing w:val="0"/>
        <w:jc w:val="both"/>
        <w:rPr>
          <w:rFonts w:ascii="Times New Roman" w:hAnsi="Times New Roman" w:cs="Times New Roman"/>
          <w:sz w:val="20"/>
          <w:szCs w:val="20"/>
        </w:rPr>
      </w:pPr>
      <w:bookmarkStart w:id="5" w:name="_Ref110601435"/>
      <w:r>
        <w:rPr>
          <w:rFonts w:cstheme="minorHAnsi"/>
          <w:b/>
          <w:lang w:eastAsia="ko-KR"/>
        </w:rPr>
        <w:t>RAN4 can agree to provide offset if it is given as a constant value in the RAN4 specification.</w:t>
      </w:r>
      <w:bookmarkEnd w:id="5"/>
    </w:p>
    <w:p w14:paraId="7E6F12BC" w14:textId="1689038C"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062EC1E4" w14:textId="472ACC2C" w:rsidR="00D34B64" w:rsidRDefault="00D34B64" w:rsidP="00BB3B06">
      <w:pPr>
        <w:jc w:val="both"/>
      </w:pPr>
      <w:r w:rsidRPr="00FF1D2D">
        <w:t xml:space="preserve">In this </w:t>
      </w:r>
      <w:r w:rsidR="00DB0F9C" w:rsidRPr="00FF1D2D">
        <w:t xml:space="preserve">contribution, discussion on </w:t>
      </w:r>
      <w:r w:rsidR="00FF1D2D" w:rsidRPr="00FF1D2D">
        <w:t xml:space="preserve">SDT for </w:t>
      </w:r>
      <w:proofErr w:type="spellStart"/>
      <w:r w:rsidR="009F06A4" w:rsidRPr="00FF1D2D">
        <w:t>RedCap</w:t>
      </w:r>
      <w:proofErr w:type="spellEnd"/>
      <w:r w:rsidR="009F06A4" w:rsidRPr="00FF1D2D">
        <w:t xml:space="preserve"> UEs</w:t>
      </w:r>
      <w:r w:rsidR="00135EEB" w:rsidRPr="00FF1D2D">
        <w:t xml:space="preserve"> are provided and we have the following </w:t>
      </w:r>
      <w:r w:rsidR="00DB0F9C" w:rsidRPr="00FF1D2D">
        <w:t>observations</w:t>
      </w:r>
      <w:r w:rsidR="00135EEB" w:rsidRPr="00FF1D2D">
        <w:t>:</w:t>
      </w:r>
      <w:r w:rsidR="00135EEB">
        <w:t xml:space="preserve"> </w:t>
      </w:r>
    </w:p>
    <w:p w14:paraId="1D3DD0DA" w14:textId="50428349" w:rsidR="001660D1" w:rsidRPr="00721A68" w:rsidRDefault="00721A68" w:rsidP="00BB3B06">
      <w:pPr>
        <w:jc w:val="both"/>
        <w:rPr>
          <w:b/>
          <w:bCs/>
        </w:rPr>
      </w:pPr>
      <w:r w:rsidRPr="00721A68">
        <w:rPr>
          <w:b/>
          <w:bCs/>
        </w:rPr>
        <w:fldChar w:fldCharType="begin"/>
      </w:r>
      <w:r w:rsidRPr="00721A68">
        <w:rPr>
          <w:b/>
          <w:bCs/>
        </w:rPr>
        <w:instrText xml:space="preserve"> REF _Ref110601384 \r \h </w:instrText>
      </w:r>
      <w:r>
        <w:rPr>
          <w:b/>
          <w:bCs/>
        </w:rPr>
        <w:instrText xml:space="preserve"> \* MERGEFORMAT </w:instrText>
      </w:r>
      <w:r w:rsidRPr="00721A68">
        <w:rPr>
          <w:b/>
          <w:bCs/>
        </w:rPr>
      </w:r>
      <w:r w:rsidRPr="00721A68">
        <w:rPr>
          <w:b/>
          <w:bCs/>
        </w:rPr>
        <w:fldChar w:fldCharType="separate"/>
      </w:r>
      <w:r w:rsidR="00CF5E69">
        <w:rPr>
          <w:b/>
          <w:bCs/>
        </w:rPr>
        <w:t>Observation 1:</w:t>
      </w:r>
      <w:r w:rsidRPr="00721A68">
        <w:rPr>
          <w:b/>
          <w:bCs/>
        </w:rPr>
        <w:fldChar w:fldCharType="end"/>
      </w:r>
      <w:r w:rsidRPr="00721A68">
        <w:rPr>
          <w:b/>
          <w:bCs/>
        </w:rPr>
        <w:t xml:space="preserve"> </w:t>
      </w:r>
      <w:r w:rsidRPr="00721A68">
        <w:rPr>
          <w:b/>
          <w:bCs/>
        </w:rPr>
        <w:fldChar w:fldCharType="begin"/>
      </w:r>
      <w:r w:rsidRPr="00721A68">
        <w:rPr>
          <w:b/>
          <w:bCs/>
        </w:rPr>
        <w:instrText xml:space="preserve"> REF _Ref110601384 \h </w:instrText>
      </w:r>
      <w:r>
        <w:rPr>
          <w:b/>
          <w:bCs/>
        </w:rPr>
        <w:instrText xml:space="preserve"> \* MERGEFORMAT </w:instrText>
      </w:r>
      <w:r w:rsidRPr="00721A68">
        <w:rPr>
          <w:b/>
          <w:bCs/>
        </w:rPr>
      </w:r>
      <w:r w:rsidRPr="00721A68">
        <w:rPr>
          <w:b/>
          <w:bCs/>
        </w:rPr>
        <w:fldChar w:fldCharType="separate"/>
      </w:r>
      <w:r w:rsidR="00CF5E69">
        <w:rPr>
          <w:b/>
          <w:bCs/>
        </w:rPr>
        <w:t xml:space="preserve">The TA validation requirements for SDT for </w:t>
      </w:r>
      <w:proofErr w:type="spellStart"/>
      <w:r w:rsidR="00CF5E69">
        <w:rPr>
          <w:b/>
          <w:bCs/>
        </w:rPr>
        <w:t>RedCap</w:t>
      </w:r>
      <w:proofErr w:type="spellEnd"/>
      <w:r w:rsidR="00CF5E69">
        <w:rPr>
          <w:b/>
          <w:bCs/>
        </w:rPr>
        <w:t xml:space="preserve"> with </w:t>
      </w:r>
      <w:proofErr w:type="spellStart"/>
      <w:r w:rsidR="00CF5E69">
        <w:rPr>
          <w:b/>
          <w:bCs/>
        </w:rPr>
        <w:t>eDRX</w:t>
      </w:r>
      <w:proofErr w:type="spellEnd"/>
      <w:r w:rsidR="00CF5E69">
        <w:rPr>
          <w:b/>
          <w:bCs/>
        </w:rPr>
        <w:t xml:space="preserve"> is always equal to 640ms</w:t>
      </w:r>
      <w:r w:rsidR="00CF5E69" w:rsidRPr="00EF7618">
        <w:rPr>
          <w:b/>
          <w:bCs/>
        </w:rPr>
        <w:t>.</w:t>
      </w:r>
      <w:r w:rsidRPr="00721A68">
        <w:rPr>
          <w:b/>
          <w:bCs/>
        </w:rPr>
        <w:fldChar w:fldCharType="end"/>
      </w:r>
    </w:p>
    <w:p w14:paraId="6330E910" w14:textId="64B1D5E9" w:rsidR="00721A68" w:rsidRPr="00721A68" w:rsidRDefault="00721A68" w:rsidP="00BB3B06">
      <w:pPr>
        <w:jc w:val="both"/>
        <w:rPr>
          <w:b/>
          <w:bCs/>
        </w:rPr>
      </w:pPr>
      <w:r w:rsidRPr="00721A68">
        <w:rPr>
          <w:b/>
          <w:bCs/>
        </w:rPr>
        <w:fldChar w:fldCharType="begin"/>
      </w:r>
      <w:r w:rsidRPr="00721A68">
        <w:rPr>
          <w:b/>
          <w:bCs/>
        </w:rPr>
        <w:instrText xml:space="preserve"> REF _Ref110601399 \r \h </w:instrText>
      </w:r>
      <w:r>
        <w:rPr>
          <w:b/>
          <w:bCs/>
        </w:rPr>
        <w:instrText xml:space="preserve"> \* MERGEFORMAT </w:instrText>
      </w:r>
      <w:r w:rsidRPr="00721A68">
        <w:rPr>
          <w:b/>
          <w:bCs/>
        </w:rPr>
      </w:r>
      <w:r w:rsidRPr="00721A68">
        <w:rPr>
          <w:b/>
          <w:bCs/>
        </w:rPr>
        <w:fldChar w:fldCharType="separate"/>
      </w:r>
      <w:r w:rsidR="00CF5E69">
        <w:rPr>
          <w:b/>
          <w:bCs/>
        </w:rPr>
        <w:t>Observation 2:</w:t>
      </w:r>
      <w:r w:rsidRPr="00721A68">
        <w:rPr>
          <w:b/>
          <w:bCs/>
        </w:rPr>
        <w:fldChar w:fldCharType="end"/>
      </w:r>
      <w:r w:rsidRPr="00721A68">
        <w:rPr>
          <w:b/>
          <w:bCs/>
        </w:rPr>
        <w:t xml:space="preserve"> </w:t>
      </w:r>
      <w:r w:rsidRPr="00721A68">
        <w:rPr>
          <w:b/>
          <w:bCs/>
        </w:rPr>
        <w:fldChar w:fldCharType="begin"/>
      </w:r>
      <w:r w:rsidRPr="00721A68">
        <w:rPr>
          <w:b/>
          <w:bCs/>
        </w:rPr>
        <w:instrText xml:space="preserve"> REF _Ref110601399 \h </w:instrText>
      </w:r>
      <w:r>
        <w:rPr>
          <w:b/>
          <w:bCs/>
        </w:rPr>
        <w:instrText xml:space="preserve"> \* MERGEFORMAT </w:instrText>
      </w:r>
      <w:r w:rsidRPr="00721A68">
        <w:rPr>
          <w:b/>
          <w:bCs/>
        </w:rPr>
      </w:r>
      <w:r w:rsidRPr="00721A68">
        <w:rPr>
          <w:b/>
          <w:bCs/>
        </w:rPr>
        <w:fldChar w:fldCharType="separate"/>
      </w:r>
      <w:r w:rsidR="00CF5E69">
        <w:rPr>
          <w:b/>
          <w:bCs/>
        </w:rPr>
        <w:t>The existing requirements in RAN4 spec do not include a different UE behaviour for neighbour cell relaxation, hence the motivation to include the additional text is not justified</w:t>
      </w:r>
      <w:r w:rsidR="00CF5E69" w:rsidRPr="00EF7618">
        <w:rPr>
          <w:b/>
          <w:bCs/>
        </w:rPr>
        <w:t>.</w:t>
      </w:r>
      <w:r w:rsidRPr="00721A68">
        <w:rPr>
          <w:b/>
          <w:bCs/>
        </w:rPr>
        <w:fldChar w:fldCharType="end"/>
      </w:r>
    </w:p>
    <w:p w14:paraId="509016A0" w14:textId="4FE78103" w:rsidR="00B6624B" w:rsidRDefault="00B6624B" w:rsidP="00BB3B06">
      <w:pPr>
        <w:jc w:val="both"/>
      </w:pPr>
      <w:r>
        <w:t xml:space="preserve">Also, we have the following proposals: </w:t>
      </w:r>
    </w:p>
    <w:p w14:paraId="7F4D1F6F" w14:textId="59331ACE" w:rsidR="00721A68" w:rsidRPr="00721A68" w:rsidRDefault="00721A68" w:rsidP="00BB3B06">
      <w:pPr>
        <w:jc w:val="both"/>
        <w:rPr>
          <w:b/>
          <w:bCs/>
        </w:rPr>
      </w:pPr>
      <w:r w:rsidRPr="00721A68">
        <w:rPr>
          <w:b/>
          <w:bCs/>
        </w:rPr>
        <w:fldChar w:fldCharType="begin"/>
      </w:r>
      <w:r w:rsidRPr="00721A68">
        <w:rPr>
          <w:b/>
          <w:bCs/>
        </w:rPr>
        <w:instrText xml:space="preserve"> REF _Ref110601412 \r \h </w:instrText>
      </w:r>
      <w:r>
        <w:rPr>
          <w:b/>
          <w:bCs/>
        </w:rPr>
        <w:instrText xml:space="preserve"> \* MERGEFORMAT </w:instrText>
      </w:r>
      <w:r w:rsidRPr="00721A68">
        <w:rPr>
          <w:b/>
          <w:bCs/>
        </w:rPr>
      </w:r>
      <w:r w:rsidRPr="00721A68">
        <w:rPr>
          <w:b/>
          <w:bCs/>
        </w:rPr>
        <w:fldChar w:fldCharType="separate"/>
      </w:r>
      <w:r w:rsidR="00CF5E69">
        <w:rPr>
          <w:b/>
          <w:bCs/>
        </w:rPr>
        <w:t>Proposal 1:</w:t>
      </w:r>
      <w:r w:rsidRPr="00721A68">
        <w:rPr>
          <w:b/>
          <w:bCs/>
        </w:rPr>
        <w:fldChar w:fldCharType="end"/>
      </w:r>
      <w:r w:rsidRPr="00721A68">
        <w:rPr>
          <w:b/>
          <w:bCs/>
        </w:rPr>
        <w:t xml:space="preserve"> </w:t>
      </w:r>
      <w:r w:rsidRPr="00721A68">
        <w:rPr>
          <w:b/>
          <w:bCs/>
        </w:rPr>
        <w:fldChar w:fldCharType="begin"/>
      </w:r>
      <w:r w:rsidRPr="00721A68">
        <w:rPr>
          <w:b/>
          <w:bCs/>
        </w:rPr>
        <w:instrText xml:space="preserve"> REF _Ref110601412 \h </w:instrText>
      </w:r>
      <w:r>
        <w:rPr>
          <w:b/>
          <w:bCs/>
        </w:rPr>
        <w:instrText xml:space="preserve"> \* MERGEFORMAT </w:instrText>
      </w:r>
      <w:r w:rsidRPr="00721A68">
        <w:rPr>
          <w:b/>
          <w:bCs/>
        </w:rPr>
      </w:r>
      <w:r w:rsidRPr="00721A68">
        <w:rPr>
          <w:b/>
          <w:bCs/>
        </w:rPr>
        <w:fldChar w:fldCharType="separate"/>
      </w:r>
      <w:r w:rsidR="00CF5E69" w:rsidRPr="00CF5E69">
        <w:rPr>
          <w:rFonts w:cstheme="minorHAnsi"/>
          <w:b/>
          <w:bCs/>
          <w:lang w:eastAsia="ko-KR"/>
        </w:rPr>
        <w:t xml:space="preserve">RAN4 can define TA validation requirement as a single value = 640ms for SDT in </w:t>
      </w:r>
      <w:proofErr w:type="spellStart"/>
      <w:r w:rsidR="00CF5E69" w:rsidRPr="00CF5E69">
        <w:rPr>
          <w:rFonts w:cstheme="minorHAnsi"/>
          <w:b/>
          <w:bCs/>
          <w:lang w:eastAsia="ko-KR"/>
        </w:rPr>
        <w:t>RedCap</w:t>
      </w:r>
      <w:proofErr w:type="spellEnd"/>
      <w:r w:rsidR="00CF5E69" w:rsidRPr="00CF5E69">
        <w:rPr>
          <w:rFonts w:cstheme="minorHAnsi"/>
          <w:b/>
          <w:bCs/>
          <w:lang w:eastAsia="ko-KR"/>
        </w:rPr>
        <w:t xml:space="preserve"> with </w:t>
      </w:r>
      <w:proofErr w:type="spellStart"/>
      <w:r w:rsidR="00CF5E69" w:rsidRPr="00CF5E69">
        <w:rPr>
          <w:rFonts w:cstheme="minorHAnsi"/>
          <w:b/>
          <w:bCs/>
          <w:lang w:eastAsia="ko-KR"/>
        </w:rPr>
        <w:t>eDRX</w:t>
      </w:r>
      <w:proofErr w:type="spellEnd"/>
      <w:r w:rsidR="00CF5E69" w:rsidRPr="00CF5E69">
        <w:rPr>
          <w:rFonts w:cstheme="minorHAnsi"/>
          <w:b/>
          <w:bCs/>
          <w:lang w:eastAsia="ko-KR"/>
        </w:rPr>
        <w:t>.</w:t>
      </w:r>
      <w:r w:rsidRPr="00721A68">
        <w:rPr>
          <w:b/>
          <w:bCs/>
        </w:rPr>
        <w:fldChar w:fldCharType="end"/>
      </w:r>
    </w:p>
    <w:p w14:paraId="71603F8C" w14:textId="5830D4C7" w:rsidR="00721A68" w:rsidRPr="00721A68" w:rsidRDefault="00721A68" w:rsidP="00BB3B06">
      <w:pPr>
        <w:jc w:val="both"/>
        <w:rPr>
          <w:b/>
          <w:bCs/>
        </w:rPr>
      </w:pPr>
      <w:r w:rsidRPr="00721A68">
        <w:rPr>
          <w:b/>
          <w:bCs/>
        </w:rPr>
        <w:fldChar w:fldCharType="begin"/>
      </w:r>
      <w:r w:rsidRPr="00721A68">
        <w:rPr>
          <w:b/>
          <w:bCs/>
        </w:rPr>
        <w:instrText xml:space="preserve"> REF _Ref110601424 \r \h </w:instrText>
      </w:r>
      <w:r>
        <w:rPr>
          <w:b/>
          <w:bCs/>
        </w:rPr>
        <w:instrText xml:space="preserve"> \* MERGEFORMAT </w:instrText>
      </w:r>
      <w:r w:rsidRPr="00721A68">
        <w:rPr>
          <w:b/>
          <w:bCs/>
        </w:rPr>
      </w:r>
      <w:r w:rsidRPr="00721A68">
        <w:rPr>
          <w:b/>
          <w:bCs/>
        </w:rPr>
        <w:fldChar w:fldCharType="separate"/>
      </w:r>
      <w:r w:rsidR="00CF5E69">
        <w:rPr>
          <w:b/>
          <w:bCs/>
        </w:rPr>
        <w:t>Proposal 2:</w:t>
      </w:r>
      <w:r w:rsidRPr="00721A68">
        <w:rPr>
          <w:b/>
          <w:bCs/>
        </w:rPr>
        <w:fldChar w:fldCharType="end"/>
      </w:r>
      <w:r w:rsidRPr="00721A68">
        <w:rPr>
          <w:b/>
          <w:bCs/>
        </w:rPr>
        <w:t xml:space="preserve"> </w:t>
      </w:r>
      <w:r w:rsidRPr="00721A68">
        <w:rPr>
          <w:b/>
          <w:bCs/>
        </w:rPr>
        <w:fldChar w:fldCharType="begin"/>
      </w:r>
      <w:r w:rsidRPr="00721A68">
        <w:rPr>
          <w:b/>
          <w:bCs/>
        </w:rPr>
        <w:instrText xml:space="preserve"> REF _Ref110601424 \h </w:instrText>
      </w:r>
      <w:r>
        <w:rPr>
          <w:b/>
          <w:bCs/>
        </w:rPr>
        <w:instrText xml:space="preserve"> \* MERGEFORMAT </w:instrText>
      </w:r>
      <w:r w:rsidRPr="00721A68">
        <w:rPr>
          <w:b/>
          <w:bCs/>
        </w:rPr>
      </w:r>
      <w:r w:rsidRPr="00721A68">
        <w:rPr>
          <w:b/>
          <w:bCs/>
        </w:rPr>
        <w:fldChar w:fldCharType="separate"/>
      </w:r>
      <w:r w:rsidR="00CF5E69" w:rsidRPr="00CF5E69">
        <w:rPr>
          <w:rFonts w:cstheme="minorHAnsi"/>
          <w:b/>
          <w:bCs/>
          <w:lang w:eastAsia="ko-KR"/>
        </w:rPr>
        <w:t>RAN4 not to capture the additional highlighted text from the WF in the RAN4 specifications.</w:t>
      </w:r>
      <w:r w:rsidRPr="00721A68">
        <w:rPr>
          <w:b/>
          <w:bCs/>
        </w:rPr>
        <w:fldChar w:fldCharType="end"/>
      </w:r>
    </w:p>
    <w:p w14:paraId="21154260" w14:textId="2C54F665" w:rsidR="00721A68" w:rsidRPr="00721A68" w:rsidRDefault="00721A68" w:rsidP="00BB3B06">
      <w:pPr>
        <w:jc w:val="both"/>
        <w:rPr>
          <w:b/>
          <w:bCs/>
        </w:rPr>
      </w:pPr>
      <w:r w:rsidRPr="00721A68">
        <w:rPr>
          <w:b/>
          <w:bCs/>
        </w:rPr>
        <w:fldChar w:fldCharType="begin"/>
      </w:r>
      <w:r w:rsidRPr="00721A68">
        <w:rPr>
          <w:b/>
          <w:bCs/>
        </w:rPr>
        <w:instrText xml:space="preserve"> REF _Ref110601435 \r \h </w:instrText>
      </w:r>
      <w:r>
        <w:rPr>
          <w:b/>
          <w:bCs/>
        </w:rPr>
        <w:instrText xml:space="preserve"> \* MERGEFORMAT </w:instrText>
      </w:r>
      <w:r w:rsidRPr="00721A68">
        <w:rPr>
          <w:b/>
          <w:bCs/>
        </w:rPr>
      </w:r>
      <w:r w:rsidRPr="00721A68">
        <w:rPr>
          <w:b/>
          <w:bCs/>
        </w:rPr>
        <w:fldChar w:fldCharType="separate"/>
      </w:r>
      <w:r w:rsidR="00CF5E69">
        <w:rPr>
          <w:b/>
          <w:bCs/>
        </w:rPr>
        <w:t>Proposal 3:</w:t>
      </w:r>
      <w:r w:rsidRPr="00721A68">
        <w:rPr>
          <w:b/>
          <w:bCs/>
        </w:rPr>
        <w:fldChar w:fldCharType="end"/>
      </w:r>
      <w:r w:rsidRPr="00721A68">
        <w:rPr>
          <w:b/>
          <w:bCs/>
        </w:rPr>
        <w:t xml:space="preserve"> </w:t>
      </w:r>
      <w:r w:rsidRPr="00721A68">
        <w:rPr>
          <w:b/>
          <w:bCs/>
        </w:rPr>
        <w:fldChar w:fldCharType="begin"/>
      </w:r>
      <w:r w:rsidRPr="00721A68">
        <w:rPr>
          <w:b/>
          <w:bCs/>
        </w:rPr>
        <w:instrText xml:space="preserve"> REF _Ref110601435 \h </w:instrText>
      </w:r>
      <w:r>
        <w:rPr>
          <w:b/>
          <w:bCs/>
        </w:rPr>
        <w:instrText xml:space="preserve"> \* MERGEFORMAT </w:instrText>
      </w:r>
      <w:r w:rsidRPr="00721A68">
        <w:rPr>
          <w:b/>
          <w:bCs/>
        </w:rPr>
      </w:r>
      <w:r w:rsidRPr="00721A68">
        <w:rPr>
          <w:b/>
          <w:bCs/>
        </w:rPr>
        <w:fldChar w:fldCharType="separate"/>
      </w:r>
      <w:r w:rsidR="00CF5E69" w:rsidRPr="00CF5E69">
        <w:rPr>
          <w:rFonts w:cstheme="minorHAnsi"/>
          <w:b/>
          <w:bCs/>
          <w:lang w:eastAsia="ko-KR"/>
        </w:rPr>
        <w:t>RAN4 can agree to provide offset if it is given as a constant value in the RAN4 specification.</w:t>
      </w:r>
      <w:r w:rsidRPr="00721A68">
        <w:rPr>
          <w:b/>
          <w:bCs/>
        </w:rPr>
        <w:fldChar w:fldCharType="end"/>
      </w:r>
    </w:p>
    <w:p w14:paraId="72F97AA6" w14:textId="65E89F86" w:rsidR="00D63646" w:rsidRPr="006B21ED" w:rsidRDefault="000F20AC" w:rsidP="00062A6C">
      <w:pPr>
        <w:pStyle w:val="Heading1"/>
        <w:numPr>
          <w:ilvl w:val="0"/>
          <w:numId w:val="1"/>
        </w:numPr>
        <w:jc w:val="both"/>
        <w:rPr>
          <w:rFonts w:ascii="Arial" w:hAnsi="Arial" w:cs="Arial"/>
        </w:rPr>
      </w:pPr>
      <w:r w:rsidRPr="006B21ED">
        <w:rPr>
          <w:rFonts w:ascii="Arial" w:hAnsi="Arial" w:cs="Arial"/>
        </w:rPr>
        <w:t>References</w:t>
      </w:r>
    </w:p>
    <w:p w14:paraId="67E33534" w14:textId="27574744" w:rsidR="001F50EF" w:rsidRPr="005315E1" w:rsidRDefault="00135EEB" w:rsidP="004E17D1">
      <w:pPr>
        <w:pStyle w:val="ListParagraph"/>
        <w:numPr>
          <w:ilvl w:val="0"/>
          <w:numId w:val="15"/>
        </w:numPr>
        <w:jc w:val="both"/>
        <w:rPr>
          <w:rFonts w:cstheme="minorHAnsi"/>
          <w:color w:val="000000"/>
        </w:rPr>
      </w:pPr>
      <w:bookmarkStart w:id="6" w:name="_Ref71639227"/>
      <w:bookmarkStart w:id="7" w:name="_Ref85650672"/>
      <w:r>
        <w:rPr>
          <w:rFonts w:cstheme="minorHAnsi"/>
        </w:rPr>
        <w:t>R</w:t>
      </w:r>
      <w:bookmarkEnd w:id="6"/>
      <w:r w:rsidR="004E17D1">
        <w:rPr>
          <w:rFonts w:cstheme="minorHAnsi"/>
        </w:rPr>
        <w:t>4-2</w:t>
      </w:r>
      <w:r w:rsidR="000B47ED">
        <w:rPr>
          <w:rFonts w:cstheme="minorHAnsi"/>
        </w:rPr>
        <w:t>2</w:t>
      </w:r>
      <w:r w:rsidR="009A6007">
        <w:rPr>
          <w:rFonts w:cstheme="minorHAnsi"/>
        </w:rPr>
        <w:t>10592</w:t>
      </w:r>
      <w:r w:rsidR="004E17D1">
        <w:rPr>
          <w:rFonts w:cstheme="minorHAnsi"/>
        </w:rPr>
        <w:t>, “</w:t>
      </w:r>
      <w:r w:rsidR="00B000A6" w:rsidRPr="00B000A6">
        <w:rPr>
          <w:rFonts w:cstheme="minorHAnsi"/>
        </w:rPr>
        <w:t xml:space="preserve">WF on </w:t>
      </w:r>
      <w:proofErr w:type="spellStart"/>
      <w:r w:rsidR="00B000A6" w:rsidRPr="00B000A6">
        <w:rPr>
          <w:rFonts w:cstheme="minorHAnsi"/>
        </w:rPr>
        <w:t>RedCap</w:t>
      </w:r>
      <w:proofErr w:type="spellEnd"/>
      <w:r w:rsidR="00B000A6" w:rsidRPr="00B000A6">
        <w:rPr>
          <w:rFonts w:cstheme="minorHAnsi"/>
        </w:rPr>
        <w:t xml:space="preserve"> RRM requirements</w:t>
      </w:r>
      <w:r w:rsidR="004E17D1">
        <w:rPr>
          <w:rFonts w:cstheme="minorHAnsi"/>
        </w:rPr>
        <w:t>”</w:t>
      </w:r>
      <w:r w:rsidR="004D0B08">
        <w:rPr>
          <w:rFonts w:cstheme="minorHAnsi"/>
        </w:rPr>
        <w:t>, Ericsson</w:t>
      </w:r>
      <w:r w:rsidR="009A6007">
        <w:rPr>
          <w:rFonts w:cstheme="minorHAnsi"/>
        </w:rPr>
        <w:t>, May 2022</w:t>
      </w:r>
      <w:r w:rsidR="004E17D1">
        <w:rPr>
          <w:rFonts w:cstheme="minorHAnsi"/>
        </w:rPr>
        <w:t>.</w:t>
      </w:r>
      <w:bookmarkEnd w:id="7"/>
    </w:p>
    <w:sectPr w:rsidR="001F50EF" w:rsidRPr="005315E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E6C0D1" w14:textId="77777777" w:rsidR="00E07B63" w:rsidRDefault="00E07B63">
      <w:r>
        <w:separator/>
      </w:r>
    </w:p>
  </w:endnote>
  <w:endnote w:type="continuationSeparator" w:id="0">
    <w:p w14:paraId="3D8438DB" w14:textId="77777777" w:rsidR="00E07B63" w:rsidRDefault="00E07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charset w:val="00"/>
    <w:family w:val="roman"/>
    <w:pitch w:val="default"/>
  </w:font>
  <w:font w:name="rtxr">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B52FCE" w14:textId="77777777" w:rsidR="00E07B63" w:rsidRDefault="00E07B63">
      <w:r>
        <w:separator/>
      </w:r>
    </w:p>
  </w:footnote>
  <w:footnote w:type="continuationSeparator" w:id="0">
    <w:p w14:paraId="3C75BBB6" w14:textId="77777777" w:rsidR="00E07B63" w:rsidRDefault="00E07B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6D95A04"/>
    <w:multiLevelType w:val="hybridMultilevel"/>
    <w:tmpl w:val="3E300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AE4615"/>
    <w:multiLevelType w:val="hybridMultilevel"/>
    <w:tmpl w:val="BEE882F0"/>
    <w:lvl w:ilvl="0" w:tplc="1F9ACEBE">
      <w:start w:val="1"/>
      <w:numFmt w:val="decimal"/>
      <w:lvlText w:val="Observation %1:"/>
      <w:lvlJc w:val="left"/>
      <w:pPr>
        <w:ind w:left="72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5"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FC2613"/>
    <w:multiLevelType w:val="hybridMultilevel"/>
    <w:tmpl w:val="B0F6719A"/>
    <w:lvl w:ilvl="0" w:tplc="1F9ACEBE">
      <w:start w:val="1"/>
      <w:numFmt w:val="decimal"/>
      <w:lvlText w:val="Observation %1:"/>
      <w:lvlJc w:val="left"/>
      <w:pPr>
        <w:ind w:left="36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0"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2"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7787915"/>
    <w:multiLevelType w:val="multilevel"/>
    <w:tmpl w:val="EE3E5666"/>
    <w:lvl w:ilvl="0">
      <w:start w:val="8"/>
      <w:numFmt w:val="decimal"/>
      <w:lvlText w:val="%1"/>
      <w:lvlJc w:val="left"/>
      <w:pPr>
        <w:ind w:left="468" w:hanging="468"/>
      </w:pPr>
      <w:rPr>
        <w:rFonts w:hint="default"/>
      </w:rPr>
    </w:lvl>
    <w:lvl w:ilvl="1">
      <w:start w:val="1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BD5C0F"/>
    <w:multiLevelType w:val="multilevel"/>
    <w:tmpl w:val="CF489428"/>
    <w:lvl w:ilvl="0">
      <w:start w:val="2"/>
      <w:numFmt w:val="decimal"/>
      <w:lvlText w:val="%1"/>
      <w:lvlJc w:val="left"/>
      <w:pPr>
        <w:ind w:left="432" w:hanging="432"/>
      </w:pPr>
      <w:rPr>
        <w:rFonts w:hint="default"/>
      </w:rPr>
    </w:lvl>
    <w:lvl w:ilvl="1">
      <w:start w:val="8"/>
      <w:numFmt w:val="decimal"/>
      <w:lvlText w:val="%1.%2"/>
      <w:lvlJc w:val="left"/>
      <w:pPr>
        <w:ind w:left="576" w:hanging="576"/>
      </w:pPr>
      <w:rPr>
        <w:rFonts w:hint="default"/>
      </w:rPr>
    </w:lvl>
    <w:lvl w:ilvl="2">
      <w:start w:val="1"/>
      <w:numFmt w:val="decimal"/>
      <w:lvlText w:val="%1.%2.%3"/>
      <w:lvlJc w:val="left"/>
      <w:pPr>
        <w:ind w:left="1288" w:hanging="720"/>
      </w:pPr>
      <w:rPr>
        <w:rFonts w:hint="default"/>
        <w:sz w:val="24"/>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361CBE"/>
    <w:multiLevelType w:val="hybridMultilevel"/>
    <w:tmpl w:val="614AE6E0"/>
    <w:lvl w:ilvl="0" w:tplc="FA3202F2">
      <w:start w:val="1"/>
      <w:numFmt w:val="decimal"/>
      <w:lvlText w:val="Proposal %1:"/>
      <w:lvlJc w:val="left"/>
      <w:pPr>
        <w:ind w:left="36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20" w15:restartNumberingAfterBreak="0">
    <w:nsid w:val="2CBD786A"/>
    <w:multiLevelType w:val="multilevel"/>
    <w:tmpl w:val="24FAF15E"/>
    <w:lvl w:ilvl="0">
      <w:start w:val="1"/>
      <w:numFmt w:val="decimal"/>
      <w:lvlText w:val="Observation %1:"/>
      <w:lvlJc w:val="left"/>
      <w:pPr>
        <w:ind w:left="36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CCA0487"/>
    <w:multiLevelType w:val="multilevel"/>
    <w:tmpl w:val="B2C82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0CD7115"/>
    <w:multiLevelType w:val="hybridMultilevel"/>
    <w:tmpl w:val="20969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24"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D37A3D"/>
    <w:multiLevelType w:val="multilevel"/>
    <w:tmpl w:val="3AD37A3D"/>
    <w:lvl w:ilvl="0">
      <w:start w:val="2"/>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288" w:hanging="720"/>
      </w:pPr>
      <w:rPr>
        <w:sz w:val="24"/>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398676A"/>
    <w:multiLevelType w:val="multilevel"/>
    <w:tmpl w:val="3D0EC50E"/>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8E06E6"/>
    <w:multiLevelType w:val="hybridMultilevel"/>
    <w:tmpl w:val="9D44AF2A"/>
    <w:lvl w:ilvl="0" w:tplc="FA3202F2">
      <w:start w:val="1"/>
      <w:numFmt w:val="decimal"/>
      <w:lvlText w:val="Proposal %1:"/>
      <w:lvlJc w:val="left"/>
      <w:pPr>
        <w:ind w:left="720" w:hanging="36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7267C66"/>
    <w:multiLevelType w:val="multilevel"/>
    <w:tmpl w:val="6F8CB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584237"/>
    <w:multiLevelType w:val="hybridMultilevel"/>
    <w:tmpl w:val="19FC5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1" w15:restartNumberingAfterBreak="0">
    <w:nsid w:val="6E556FEF"/>
    <w:multiLevelType w:val="multilevel"/>
    <w:tmpl w:val="C2E0B5FE"/>
    <w:lvl w:ilvl="0">
      <w:start w:val="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3"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7BB104B"/>
    <w:multiLevelType w:val="multilevel"/>
    <w:tmpl w:val="5AFE4AE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40"/>
  </w:num>
  <w:num w:numId="2">
    <w:abstractNumId w:val="25"/>
  </w:num>
  <w:num w:numId="3">
    <w:abstractNumId w:val="5"/>
  </w:num>
  <w:num w:numId="4">
    <w:abstractNumId w:val="43"/>
  </w:num>
  <w:num w:numId="5">
    <w:abstractNumId w:val="7"/>
  </w:num>
  <w:num w:numId="6">
    <w:abstractNumId w:val="16"/>
  </w:num>
  <w:num w:numId="7">
    <w:abstractNumId w:val="9"/>
  </w:num>
  <w:num w:numId="8">
    <w:abstractNumId w:val="11"/>
  </w:num>
  <w:num w:numId="9">
    <w:abstractNumId w:val="18"/>
  </w:num>
  <w:num w:numId="10">
    <w:abstractNumId w:val="35"/>
  </w:num>
  <w:num w:numId="11">
    <w:abstractNumId w:val="39"/>
  </w:num>
  <w:num w:numId="12">
    <w:abstractNumId w:val="28"/>
  </w:num>
  <w:num w:numId="13">
    <w:abstractNumId w:val="31"/>
  </w:num>
  <w:num w:numId="14">
    <w:abstractNumId w:val="37"/>
  </w:num>
  <w:num w:numId="15">
    <w:abstractNumId w:val="34"/>
  </w:num>
  <w:num w:numId="16">
    <w:abstractNumId w:val="23"/>
  </w:num>
  <w:num w:numId="17">
    <w:abstractNumId w:val="33"/>
  </w:num>
  <w:num w:numId="18">
    <w:abstractNumId w:val="1"/>
  </w:num>
  <w:num w:numId="19">
    <w:abstractNumId w:val="13"/>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num>
  <w:num w:numId="23">
    <w:abstractNumId w:val="0"/>
  </w:num>
  <w:num w:numId="24">
    <w:abstractNumId w:val="29"/>
  </w:num>
  <w:num w:numId="25">
    <w:abstractNumId w:val="4"/>
  </w:num>
  <w:num w:numId="26">
    <w:abstractNumId w:val="45"/>
  </w:num>
  <w:num w:numId="27">
    <w:abstractNumId w:val="12"/>
  </w:num>
  <w:num w:numId="28">
    <w:abstractNumId w:val="19"/>
  </w:num>
  <w:num w:numId="29">
    <w:abstractNumId w:val="36"/>
  </w:num>
  <w:num w:numId="30">
    <w:abstractNumId w:val="22"/>
  </w:num>
  <w:num w:numId="31">
    <w:abstractNumId w:val="38"/>
  </w:num>
  <w:num w:numId="32">
    <w:abstractNumId w:val="2"/>
  </w:num>
  <w:num w:numId="33">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32"/>
  </w:num>
  <w:num w:numId="37">
    <w:abstractNumId w:val="36"/>
  </w:num>
  <w:num w:numId="38">
    <w:abstractNumId w:val="21"/>
  </w:num>
  <w:num w:numId="39">
    <w:abstractNumId w:val="20"/>
  </w:num>
  <w:num w:numId="40">
    <w:abstractNumId w:val="17"/>
  </w:num>
  <w:num w:numId="41">
    <w:abstractNumId w:val="44"/>
  </w:num>
  <w:num w:numId="42">
    <w:abstractNumId w:val="8"/>
  </w:num>
  <w:num w:numId="43">
    <w:abstractNumId w:val="3"/>
  </w:num>
  <w:num w:numId="44">
    <w:abstractNumId w:val="30"/>
  </w:num>
  <w:num w:numId="45">
    <w:abstractNumId w:val="26"/>
  </w:num>
  <w:num w:numId="46">
    <w:abstractNumId w:val="24"/>
  </w:num>
  <w:num w:numId="47">
    <w:abstractNumId w:val="15"/>
  </w:num>
  <w:num w:numId="48">
    <w:abstractNumId w:val="14"/>
  </w:num>
  <w:num w:numId="49">
    <w:abstractNumId w:val="41"/>
  </w:num>
  <w:num w:numId="50">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3DB"/>
    <w:rsid w:val="00004781"/>
    <w:rsid w:val="00004ADA"/>
    <w:rsid w:val="00004C31"/>
    <w:rsid w:val="00004F66"/>
    <w:rsid w:val="000058BC"/>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7C1"/>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7C4"/>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A6C"/>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4EC"/>
    <w:rsid w:val="00090ED4"/>
    <w:rsid w:val="000917DB"/>
    <w:rsid w:val="00091F15"/>
    <w:rsid w:val="00091F51"/>
    <w:rsid w:val="00092D5C"/>
    <w:rsid w:val="0009343C"/>
    <w:rsid w:val="000934B5"/>
    <w:rsid w:val="00093B47"/>
    <w:rsid w:val="00093C0A"/>
    <w:rsid w:val="00093D8C"/>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423B"/>
    <w:rsid w:val="000B425E"/>
    <w:rsid w:val="000B47ED"/>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85A"/>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2A"/>
    <w:rsid w:val="000D59AC"/>
    <w:rsid w:val="000D5A2D"/>
    <w:rsid w:val="000D6323"/>
    <w:rsid w:val="000D6626"/>
    <w:rsid w:val="000D6AAB"/>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441"/>
    <w:rsid w:val="000F2F02"/>
    <w:rsid w:val="000F30DA"/>
    <w:rsid w:val="000F3186"/>
    <w:rsid w:val="000F35FB"/>
    <w:rsid w:val="000F38B9"/>
    <w:rsid w:val="000F3B28"/>
    <w:rsid w:val="000F3DCF"/>
    <w:rsid w:val="000F468C"/>
    <w:rsid w:val="000F4A8D"/>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276"/>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14E"/>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0D1"/>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4E33"/>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BEA"/>
    <w:rsid w:val="001A2E9E"/>
    <w:rsid w:val="001A2FE8"/>
    <w:rsid w:val="001A338F"/>
    <w:rsid w:val="001A359D"/>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12E"/>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3139"/>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806"/>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042"/>
    <w:rsid w:val="00222433"/>
    <w:rsid w:val="00222A7A"/>
    <w:rsid w:val="00222CDC"/>
    <w:rsid w:val="0022309C"/>
    <w:rsid w:val="00223189"/>
    <w:rsid w:val="00223445"/>
    <w:rsid w:val="00223D65"/>
    <w:rsid w:val="00223E6F"/>
    <w:rsid w:val="00223FC7"/>
    <w:rsid w:val="002242E0"/>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CB2"/>
    <w:rsid w:val="002A4D6B"/>
    <w:rsid w:val="002A5188"/>
    <w:rsid w:val="002A5359"/>
    <w:rsid w:val="002A5B7C"/>
    <w:rsid w:val="002A5C16"/>
    <w:rsid w:val="002A64D0"/>
    <w:rsid w:val="002A64E2"/>
    <w:rsid w:val="002A6A9E"/>
    <w:rsid w:val="002A6F00"/>
    <w:rsid w:val="002A7275"/>
    <w:rsid w:val="002A73F2"/>
    <w:rsid w:val="002A7608"/>
    <w:rsid w:val="002A7EFD"/>
    <w:rsid w:val="002A7F4E"/>
    <w:rsid w:val="002B034A"/>
    <w:rsid w:val="002B072A"/>
    <w:rsid w:val="002B0D87"/>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7D0"/>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19F"/>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B8B"/>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6EBE"/>
    <w:rsid w:val="00347772"/>
    <w:rsid w:val="0034787E"/>
    <w:rsid w:val="00347AA0"/>
    <w:rsid w:val="00347E65"/>
    <w:rsid w:val="003503D8"/>
    <w:rsid w:val="003506D9"/>
    <w:rsid w:val="00350908"/>
    <w:rsid w:val="0035090A"/>
    <w:rsid w:val="0035096E"/>
    <w:rsid w:val="00350ADD"/>
    <w:rsid w:val="00350B34"/>
    <w:rsid w:val="00350C7A"/>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693"/>
    <w:rsid w:val="00360A11"/>
    <w:rsid w:val="00360A5E"/>
    <w:rsid w:val="003610EE"/>
    <w:rsid w:val="003611E7"/>
    <w:rsid w:val="00361A00"/>
    <w:rsid w:val="0036294F"/>
    <w:rsid w:val="00362A08"/>
    <w:rsid w:val="003632A7"/>
    <w:rsid w:val="00363476"/>
    <w:rsid w:val="0036408B"/>
    <w:rsid w:val="003642A6"/>
    <w:rsid w:val="003649D3"/>
    <w:rsid w:val="00365B13"/>
    <w:rsid w:val="00365D8F"/>
    <w:rsid w:val="0036634E"/>
    <w:rsid w:val="0036652C"/>
    <w:rsid w:val="0036658D"/>
    <w:rsid w:val="0036717B"/>
    <w:rsid w:val="00367473"/>
    <w:rsid w:val="003676B4"/>
    <w:rsid w:val="00370081"/>
    <w:rsid w:val="00370BA7"/>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67A"/>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1E80"/>
    <w:rsid w:val="003C2408"/>
    <w:rsid w:val="003C25C9"/>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97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0FAA"/>
    <w:rsid w:val="00421132"/>
    <w:rsid w:val="00421290"/>
    <w:rsid w:val="004213ED"/>
    <w:rsid w:val="004218CE"/>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E71"/>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87F0F"/>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416"/>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BBB"/>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5F8F"/>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08"/>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5FFE"/>
    <w:rsid w:val="004D6286"/>
    <w:rsid w:val="004D6436"/>
    <w:rsid w:val="004D744F"/>
    <w:rsid w:val="004D7B89"/>
    <w:rsid w:val="004D7E05"/>
    <w:rsid w:val="004D7F50"/>
    <w:rsid w:val="004E074F"/>
    <w:rsid w:val="004E07BB"/>
    <w:rsid w:val="004E0A65"/>
    <w:rsid w:val="004E0BCB"/>
    <w:rsid w:val="004E0F2A"/>
    <w:rsid w:val="004E1030"/>
    <w:rsid w:val="004E1230"/>
    <w:rsid w:val="004E1499"/>
    <w:rsid w:val="004E17D1"/>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573"/>
    <w:rsid w:val="004F0D2A"/>
    <w:rsid w:val="004F0DB4"/>
    <w:rsid w:val="004F1097"/>
    <w:rsid w:val="004F1321"/>
    <w:rsid w:val="004F1A95"/>
    <w:rsid w:val="004F1B0B"/>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9B8"/>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5E1"/>
    <w:rsid w:val="00531C7B"/>
    <w:rsid w:val="00531D76"/>
    <w:rsid w:val="00531E99"/>
    <w:rsid w:val="00532279"/>
    <w:rsid w:val="0053257D"/>
    <w:rsid w:val="005327CF"/>
    <w:rsid w:val="00532B17"/>
    <w:rsid w:val="0053328B"/>
    <w:rsid w:val="0053343A"/>
    <w:rsid w:val="005339B1"/>
    <w:rsid w:val="00533AC2"/>
    <w:rsid w:val="00533E88"/>
    <w:rsid w:val="00534070"/>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85E"/>
    <w:rsid w:val="00540BBE"/>
    <w:rsid w:val="00540C35"/>
    <w:rsid w:val="00541403"/>
    <w:rsid w:val="0054246B"/>
    <w:rsid w:val="005424D2"/>
    <w:rsid w:val="00542DD9"/>
    <w:rsid w:val="005442D9"/>
    <w:rsid w:val="00544566"/>
    <w:rsid w:val="005449FC"/>
    <w:rsid w:val="00544A65"/>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123"/>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38A"/>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DC6"/>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90A"/>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64"/>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1FBF"/>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48"/>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1CC"/>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A2C"/>
    <w:rsid w:val="006B3ED4"/>
    <w:rsid w:val="006B4156"/>
    <w:rsid w:val="006B44CA"/>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4A7F"/>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013"/>
    <w:rsid w:val="006E6613"/>
    <w:rsid w:val="006E6855"/>
    <w:rsid w:val="006E6BA3"/>
    <w:rsid w:val="006E6BAF"/>
    <w:rsid w:val="006E74F6"/>
    <w:rsid w:val="006E759E"/>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A68"/>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34C"/>
    <w:rsid w:val="00727DF5"/>
    <w:rsid w:val="00727FD1"/>
    <w:rsid w:val="0073125D"/>
    <w:rsid w:val="0073137A"/>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2D8"/>
    <w:rsid w:val="00793793"/>
    <w:rsid w:val="00793B5B"/>
    <w:rsid w:val="00793F1D"/>
    <w:rsid w:val="007940F6"/>
    <w:rsid w:val="00794895"/>
    <w:rsid w:val="00794938"/>
    <w:rsid w:val="00794D0F"/>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512"/>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42B"/>
    <w:rsid w:val="007D4A01"/>
    <w:rsid w:val="007D51B4"/>
    <w:rsid w:val="007D536F"/>
    <w:rsid w:val="007D55FD"/>
    <w:rsid w:val="007D5D3E"/>
    <w:rsid w:val="007D689B"/>
    <w:rsid w:val="007D6DFF"/>
    <w:rsid w:val="007D711D"/>
    <w:rsid w:val="007D7ABB"/>
    <w:rsid w:val="007E02AA"/>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EE9"/>
    <w:rsid w:val="007F331E"/>
    <w:rsid w:val="007F3719"/>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9A5"/>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068"/>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BB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6B4"/>
    <w:rsid w:val="00846EC1"/>
    <w:rsid w:val="00847204"/>
    <w:rsid w:val="00847C25"/>
    <w:rsid w:val="00847EE6"/>
    <w:rsid w:val="008507D4"/>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807"/>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266"/>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1E2F"/>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08"/>
    <w:rsid w:val="00906AF6"/>
    <w:rsid w:val="00907259"/>
    <w:rsid w:val="009072D4"/>
    <w:rsid w:val="00907809"/>
    <w:rsid w:val="0091019E"/>
    <w:rsid w:val="00910AFF"/>
    <w:rsid w:val="00911609"/>
    <w:rsid w:val="00911620"/>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27E08"/>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CB2"/>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6AA"/>
    <w:rsid w:val="009979C2"/>
    <w:rsid w:val="00997D81"/>
    <w:rsid w:val="009A01B0"/>
    <w:rsid w:val="009A02C2"/>
    <w:rsid w:val="009A0D0C"/>
    <w:rsid w:val="009A0DB0"/>
    <w:rsid w:val="009A1D73"/>
    <w:rsid w:val="009A263C"/>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007"/>
    <w:rsid w:val="009A617A"/>
    <w:rsid w:val="009A6416"/>
    <w:rsid w:val="009A69C2"/>
    <w:rsid w:val="009A6C80"/>
    <w:rsid w:val="009A6E4A"/>
    <w:rsid w:val="009A7073"/>
    <w:rsid w:val="009A7092"/>
    <w:rsid w:val="009A74A0"/>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0EEB"/>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6A9B"/>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670"/>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067"/>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206"/>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2CA"/>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00D"/>
    <w:rsid w:val="00AF52AE"/>
    <w:rsid w:val="00AF5C0F"/>
    <w:rsid w:val="00AF5F91"/>
    <w:rsid w:val="00AF6BC8"/>
    <w:rsid w:val="00AF7CF9"/>
    <w:rsid w:val="00AF7EBA"/>
    <w:rsid w:val="00B000A6"/>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3AFD"/>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106"/>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2F2B"/>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5FBB"/>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3C1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64D"/>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7E"/>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35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864"/>
    <w:rsid w:val="00BF2AE3"/>
    <w:rsid w:val="00BF3290"/>
    <w:rsid w:val="00BF32E3"/>
    <w:rsid w:val="00BF3B5F"/>
    <w:rsid w:val="00BF3B65"/>
    <w:rsid w:val="00BF4471"/>
    <w:rsid w:val="00BF462F"/>
    <w:rsid w:val="00BF4A60"/>
    <w:rsid w:val="00BF5055"/>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37EA"/>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24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4BF"/>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25D"/>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2F65"/>
    <w:rsid w:val="00CE3009"/>
    <w:rsid w:val="00CE31CF"/>
    <w:rsid w:val="00CE3920"/>
    <w:rsid w:val="00CE39B1"/>
    <w:rsid w:val="00CE4079"/>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C3D"/>
    <w:rsid w:val="00CF2DBC"/>
    <w:rsid w:val="00CF2F4F"/>
    <w:rsid w:val="00CF31F1"/>
    <w:rsid w:val="00CF3807"/>
    <w:rsid w:val="00CF38DC"/>
    <w:rsid w:val="00CF3A2E"/>
    <w:rsid w:val="00CF3E4F"/>
    <w:rsid w:val="00CF3EF4"/>
    <w:rsid w:val="00CF3FBD"/>
    <w:rsid w:val="00CF41A8"/>
    <w:rsid w:val="00CF456F"/>
    <w:rsid w:val="00CF4A93"/>
    <w:rsid w:val="00CF5689"/>
    <w:rsid w:val="00CF5A8C"/>
    <w:rsid w:val="00CF5BFF"/>
    <w:rsid w:val="00CF5D28"/>
    <w:rsid w:val="00CF5E69"/>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A4A"/>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06A"/>
    <w:rsid w:val="00D5286F"/>
    <w:rsid w:val="00D52A5E"/>
    <w:rsid w:val="00D52AD9"/>
    <w:rsid w:val="00D52BFC"/>
    <w:rsid w:val="00D53109"/>
    <w:rsid w:val="00D531B7"/>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33D"/>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4C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1E5F"/>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5DA4"/>
    <w:rsid w:val="00DA610D"/>
    <w:rsid w:val="00DA64B0"/>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362"/>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55CC"/>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A05"/>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B63"/>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1BE"/>
    <w:rsid w:val="00E258E0"/>
    <w:rsid w:val="00E26120"/>
    <w:rsid w:val="00E2627E"/>
    <w:rsid w:val="00E27794"/>
    <w:rsid w:val="00E27D56"/>
    <w:rsid w:val="00E30DC2"/>
    <w:rsid w:val="00E313B6"/>
    <w:rsid w:val="00E313CC"/>
    <w:rsid w:val="00E3151B"/>
    <w:rsid w:val="00E3165F"/>
    <w:rsid w:val="00E319EC"/>
    <w:rsid w:val="00E31ECF"/>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26B7"/>
    <w:rsid w:val="00E636C0"/>
    <w:rsid w:val="00E63A58"/>
    <w:rsid w:val="00E64381"/>
    <w:rsid w:val="00E6494A"/>
    <w:rsid w:val="00E64F80"/>
    <w:rsid w:val="00E65222"/>
    <w:rsid w:val="00E65924"/>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EF761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6E52"/>
    <w:rsid w:val="00F075CB"/>
    <w:rsid w:val="00F07730"/>
    <w:rsid w:val="00F07E6C"/>
    <w:rsid w:val="00F102D0"/>
    <w:rsid w:val="00F10657"/>
    <w:rsid w:val="00F107C0"/>
    <w:rsid w:val="00F10C10"/>
    <w:rsid w:val="00F10F1C"/>
    <w:rsid w:val="00F11A01"/>
    <w:rsid w:val="00F120C5"/>
    <w:rsid w:val="00F12181"/>
    <w:rsid w:val="00F121DD"/>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4D6B"/>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326"/>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267"/>
    <w:rsid w:val="00F703DB"/>
    <w:rsid w:val="00F706ED"/>
    <w:rsid w:val="00F7082C"/>
    <w:rsid w:val="00F70E9D"/>
    <w:rsid w:val="00F7134C"/>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D11"/>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457"/>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3FD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D2D"/>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ECF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2670"/>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826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267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66348832">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6507893">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587521">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2561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138313">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5154216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0658395">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2264701">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B3E3F-0A89-4DCE-A3CA-769F39030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925</Words>
  <Characters>5102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2022-08-10T15:33:00Z</dcterms:created>
  <dcterms:modified xsi:type="dcterms:W3CDTF">2022-08-10T15:33:00Z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